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240" w:lineRule="auto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德惠市2024年预算绩效管理工作开展情况</w:t>
      </w:r>
    </w:p>
    <w:p>
      <w:pPr>
        <w:widowControl w:val="0"/>
        <w:wordWrap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财政部门紧紧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政府各项决策部署，始终坚持政策导向，强化政治担当，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坚持“花钱必问效、无效必问责”的绩效理念，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不断推进预算绩效管理向纵深开展，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较好完成了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任务。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一、强化目标管理，把好源头关口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在预算编制阶段，严格要求各预算单位按照“谁申请资金，谁设置目标”的原则，科学合理编制绩效目标。</w:t>
      </w:r>
      <w:r>
        <w:rPr>
          <w:rFonts w:hint="eastAsia" w:ascii="仿宋_GB2312" w:hAnsi="仿宋_GB2312" w:eastAsia="仿宋_GB2312" w:cs="仿宋_GB2312"/>
          <w:sz w:val="32"/>
          <w:szCs w:val="32"/>
        </w:rPr>
        <w:t>着力提升绩效目标质量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加强对绩效目标审核工作的指导，明确绩效目标的构成、审核要点、审核主体和审核流程等内容，进一步优化绩效目标的科学性与规范性，充分发挥绩效目标在预算编制中的引领和约束作用。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二、加强运行监控，确保目标实现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组织部门对2024年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年初纳入部门预算的142个二级项目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1-7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月份预算执行及绩效目标实现情况开展财政定期绩效监控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，确保实现监控全覆盖。对监控中发现的预算执行率较低、目标完成不理想的项目进行深入分析，督促预算单位改进管理，切实提升财政资金使用效益。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三、深化绩效评价，提升评价质量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/>
        </w:sect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结合市委决策部署，充分考量部门预算安排项目的社会关注度、资金额度、项目建设意义等因素，对7个预算项目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组织开展财政重点绩效评价，强化财政管理与监督，提升财政决策科学性。预算单位对绩效管理的认识不断深化，逐步从“要我绩效”向“我要绩效”转变，绩效管理的主动性和自觉性明显提高。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附：2024年重点项目绩效评价报告摘要</w:t>
      </w:r>
    </w:p>
    <w:p>
      <w:pPr>
        <w:widowControl w:val="0"/>
        <w:wordWrap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/>
        </w:sectPr>
      </w:pPr>
    </w:p>
    <w:p>
      <w:pPr>
        <w:wordWrap/>
        <w:adjustRightIn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highlight w:val="none"/>
          <w:u w:val="none"/>
          <w:lang w:val="en-US" w:eastAsia="zh-CN"/>
        </w:rPr>
      </w:pPr>
    </w:p>
    <w:p>
      <w:pPr>
        <w:wordWrap/>
        <w:adjustRightIn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highlight w:val="none"/>
          <w:u w:val="none"/>
          <w:lang w:val="en-US" w:eastAsia="zh-CN"/>
        </w:rPr>
      </w:pPr>
    </w:p>
    <w:p>
      <w:pPr>
        <w:wordWrap/>
        <w:adjustRightIn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highlight w:val="none"/>
          <w:u w:val="none"/>
          <w:lang w:val="en-US" w:eastAsia="zh-CN"/>
        </w:rPr>
      </w:pPr>
    </w:p>
    <w:p>
      <w:pPr>
        <w:wordWrap/>
        <w:adjustRightIn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highlight w:val="none"/>
          <w:u w:val="none"/>
          <w:lang w:val="en-US" w:eastAsia="zh-CN"/>
        </w:rPr>
      </w:pPr>
    </w:p>
    <w:p>
      <w:pPr>
        <w:wordWrap/>
        <w:adjustRightIn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highlight w:val="none"/>
          <w:u w:val="none"/>
          <w:lang w:val="en-US" w:eastAsia="zh-CN"/>
        </w:rPr>
        <w:t>2024年重点项目绩效</w:t>
      </w:r>
    </w:p>
    <w:p>
      <w:pPr>
        <w:widowControl w:val="0"/>
        <w:wordWrap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highlight w:val="none"/>
          <w:u w:val="none"/>
          <w:lang w:val="en-US" w:eastAsia="zh-CN"/>
        </w:rPr>
        <w:t>评价报告摘要</w:t>
      </w:r>
    </w:p>
    <w:p>
      <w:pPr>
        <w:pStyle w:val="2"/>
        <w:wordWrap/>
        <w:adjustRightInd/>
        <w:spacing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highlight w:val="none"/>
          <w:u w:val="none"/>
          <w:lang w:val="en-US" w:eastAsia="zh-CN"/>
        </w:rPr>
      </w:pPr>
    </w:p>
    <w:p>
      <w:pPr>
        <w:pStyle w:val="3"/>
        <w:wordWrap/>
        <w:adjustRightInd/>
        <w:spacing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highlight w:val="none"/>
          <w:u w:val="none"/>
          <w:lang w:val="en-US" w:eastAsia="zh-CN"/>
        </w:rPr>
      </w:pPr>
    </w:p>
    <w:p>
      <w:pPr>
        <w:wordWrap/>
        <w:adjustRightInd/>
        <w:spacing w:line="240" w:lineRule="auto"/>
        <w:rPr>
          <w:rFonts w:hint="eastAsia"/>
          <w:lang w:val="en-US" w:eastAsia="zh-CN"/>
        </w:rPr>
      </w:pPr>
    </w:p>
    <w:p>
      <w:pPr>
        <w:wordWrap/>
        <w:adjustRightInd/>
        <w:spacing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highlight w:val="none"/>
          <w:u w:val="none"/>
          <w:lang w:val="en-US" w:eastAsia="zh-CN"/>
        </w:rPr>
      </w:pPr>
    </w:p>
    <w:p>
      <w:pPr>
        <w:pStyle w:val="2"/>
        <w:wordWrap/>
        <w:adjustRightInd/>
        <w:spacing w:line="240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</w:p>
    <w:p>
      <w:pPr>
        <w:pStyle w:val="3"/>
        <w:wordWrap/>
        <w:adjustRightInd/>
        <w:spacing w:line="240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</w:p>
    <w:p>
      <w:pPr>
        <w:widowControl w:val="0"/>
        <w:wordWrap/>
        <w:overflowPunct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/>
        </w:sectPr>
      </w:pPr>
    </w:p>
    <w:p>
      <w:pPr>
        <w:widowControl w:val="0"/>
        <w:wordWrap/>
        <w:overflowPunct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1.大房身镇高台子村21公里基础设施建设工程.............1</w:t>
      </w:r>
    </w:p>
    <w:p>
      <w:pPr>
        <w:widowControl w:val="0"/>
        <w:wordWrap/>
        <w:overflowPunct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2.德惠市教育局2024年学校取暖费补助资金项目...........3</w:t>
      </w:r>
    </w:p>
    <w:p>
      <w:pPr>
        <w:widowControl w:val="0"/>
        <w:wordWrap/>
        <w:overflowPunct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3.德惠市教育局2024年教育事业费项目...................5</w:t>
      </w:r>
    </w:p>
    <w:p>
      <w:pPr>
        <w:widowControl w:val="0"/>
        <w:wordWrap/>
        <w:overflowPunct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4.长春大合生物技术开发有限公司发展资金................7</w:t>
      </w:r>
    </w:p>
    <w:p>
      <w:pPr>
        <w:widowControl w:val="0"/>
        <w:wordWrap/>
        <w:overflowPunct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5.2024年社工岗人员工资及社保缴费......................9</w:t>
      </w:r>
    </w:p>
    <w:p>
      <w:pPr>
        <w:widowControl w:val="0"/>
        <w:wordWrap/>
        <w:overflowPunct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6.高龄老人生活补助...................................11</w:t>
      </w:r>
    </w:p>
    <w:p>
      <w:pPr>
        <w:widowControl w:val="0"/>
        <w:wordWrap/>
        <w:overflowPunct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7.德惠市东风污水处理厂一期、二期运营费................13</w:t>
      </w:r>
    </w:p>
    <w:p>
      <w:pPr>
        <w:pStyle w:val="2"/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widowControl w:val="0"/>
        <w:wordWrap/>
        <w:adjustRightInd/>
        <w:snapToGrid w:val="0"/>
        <w:spacing w:line="240" w:lineRule="auto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footerReference r:id="rId6" w:type="default"/>
          <w:pgSz w:w="11906" w:h="16838"/>
          <w:pgMar w:top="2098" w:right="1474" w:bottom="1984" w:left="1587" w:header="851" w:footer="992" w:gutter="0"/>
          <w:pgNumType w:fmt="decimal" w:start="1"/>
          <w:cols w:space="720" w:num="1"/>
          <w:docGrid w:type="lines" w:linePitch="312"/>
        </w:sectPr>
      </w:pPr>
    </w:p>
    <w:p>
      <w:pPr>
        <w:pStyle w:val="3"/>
        <w:widowControl w:val="0"/>
        <w:wordWrap/>
        <w:adjustRightInd/>
        <w:snapToGrid w:val="0"/>
        <w:spacing w:line="240" w:lineRule="auto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大房身镇高台子村21公里基础设施建设工程绩效评价报告摘要</w:t>
      </w:r>
    </w:p>
    <w:p>
      <w:pPr>
        <w:wordWrap/>
        <w:adjustRightInd/>
        <w:spacing w:line="240" w:lineRule="auto"/>
        <w:rPr>
          <w:rFonts w:hint="eastAsia"/>
          <w:lang w:val="en-US" w:eastAsia="zh-CN"/>
        </w:rPr>
      </w:pPr>
    </w:p>
    <w:p>
      <w:pPr>
        <w:pStyle w:val="2"/>
        <w:wordWrap/>
        <w:adjustRightInd/>
        <w:spacing w:line="24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一、项目资金投入及支出情况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4年，大房身镇高台子村21公里基础设施建设工程项目全年预算数200万元。截至2024年12月31日，资金支出200万元，执行率为100%。</w:t>
      </w:r>
    </w:p>
    <w:p>
      <w:pPr>
        <w:wordWrap/>
        <w:adjustRightInd/>
        <w:spacing w:line="240" w:lineRule="auto"/>
        <w:ind w:firstLine="640" w:firstLineChars="20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二、评价结论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综合得分97分，绩效评价结果为“优”。主要绩效有：21公里两侧新建人行道3566米，安装太阳能路灯108盏，新建排水沟619米，修筑绿化种植带2000.5平方米，拆除原有砖墙576米，铁皮围挡212米，新建围墙1400米，外墙涂料1400米，新建1.5米高大门44樘，种植绿化树木29037株。提高了百姓生活水平，环境卫生得到了有效提升。工程建设严格按照国家建设标准，日常监督由质量监督小组负责，接受上级监理及有关部门的质量监督，建设工程达到合格标准。社会对该项目评价较高，附近村民对该项目满意度也达到100%。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三、存在问题及原因</w:t>
      </w:r>
    </w:p>
    <w:p>
      <w:pPr>
        <w:wordWrap/>
        <w:adjustRightInd/>
        <w:spacing w:line="240" w:lineRule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预算绩效管理水平有待进一步提高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预算绩效目标编制不够明确，绩效指标设置不够细化、量化，可操作性有待提高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绩效管理人员配备不足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项目实施监管力度有待进一步加强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ordWrap/>
        <w:adjustRightInd/>
        <w:spacing w:line="240" w:lineRule="auto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四、有关建议</w:t>
      </w:r>
    </w:p>
    <w:p>
      <w:pPr>
        <w:wordWrap/>
        <w:adjustRightInd/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加强绩效管理，发挥政策导向作用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建议部门积极推进预算绩效管理，科学合理设置绩效目标，确保目标清晰可衡量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提高预算绩效管理意识；建议部门加强学习，提高财政预算管理的执行水平；建立健全高效的预算管理组织，保证预算管理工作的顺利开展；深入调研，立足实际，重视预算执行过程控制，严格预算执行效力。</w:t>
      </w:r>
    </w:p>
    <w:p>
      <w:pPr>
        <w:pStyle w:val="2"/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adjustRightInd/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widowControl w:val="0"/>
        <w:wordWrap/>
        <w:adjustRightInd/>
        <w:snapToGrid w:val="0"/>
        <w:spacing w:line="240" w:lineRule="auto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德惠市教育局2024年学校取暖费补助</w:t>
      </w:r>
    </w:p>
    <w:p>
      <w:pPr>
        <w:pStyle w:val="3"/>
        <w:widowControl w:val="0"/>
        <w:wordWrap/>
        <w:adjustRightInd/>
        <w:snapToGrid w:val="0"/>
        <w:spacing w:line="240" w:lineRule="auto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项目绩效评价报告摘要</w:t>
      </w:r>
    </w:p>
    <w:p>
      <w:pPr>
        <w:wordWrap/>
        <w:adjustRightInd/>
        <w:spacing w:line="240" w:lineRule="auto"/>
        <w:rPr>
          <w:rFonts w:hint="eastAsia"/>
          <w:lang w:val="en-US" w:eastAsia="zh-CN"/>
        </w:rPr>
      </w:pPr>
    </w:p>
    <w:p>
      <w:pPr>
        <w:pStyle w:val="3"/>
        <w:widowControl w:val="0"/>
        <w:wordWrap/>
        <w:adjustRightInd/>
        <w:snapToGrid w:val="0"/>
        <w:spacing w:line="240" w:lineRule="auto"/>
        <w:ind w:left="0" w:leftChars="0"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一、项目资金投入及支出情况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4年，德惠市教育局2024年学校取暖费补助项目全年预算数1750万元。截至2024年12月31日，资金支出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1749.99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万元，执行率为100%。</w:t>
      </w:r>
    </w:p>
    <w:p>
      <w:pPr>
        <w:wordWrap/>
        <w:adjustRightInd/>
        <w:spacing w:line="240" w:lineRule="auto"/>
        <w:ind w:firstLine="640" w:firstLineChars="20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二、评价结论</w:t>
      </w:r>
    </w:p>
    <w:p>
      <w:pPr>
        <w:wordWrap/>
        <w:adjustRightInd/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综合得分99分，绩效评价结果为“优”。主要绩效有：执行取暖费拨款同时，取暖费不低于每平方米30元，村小取暖拨款不低于2.2万元，室内温度大于等于18摄氏度,供暖天数大于等于165天，保证教育教学正常开展，教室冬季室温达标，师生满意度年末抽样调查为90.6%，达到预期目标。</w:t>
      </w:r>
    </w:p>
    <w:p>
      <w:pPr>
        <w:wordWrap/>
        <w:adjustRightInd/>
        <w:spacing w:line="240" w:lineRule="auto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三、存在问题及原因</w:t>
      </w:r>
    </w:p>
    <w:p>
      <w:pPr>
        <w:wordWrap/>
        <w:adjustRightInd/>
        <w:spacing w:line="240" w:lineRule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绩效指标设置较为清晰、合理、细化、量化，能够综合反映项目整体情况及预期效益，但在绩效自评环节，评价结果未能充分体现预算执行效果，虽然能够体现出完成了年初预计目标，但未能具体量化目标完成结果，完成值的表述明确性有待进一步提升。</w:t>
      </w:r>
    </w:p>
    <w:p>
      <w:pPr>
        <w:wordWrap/>
        <w:adjustRightInd/>
        <w:spacing w:line="240" w:lineRule="auto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四、有关建议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一是通过绩效评价，强化评价结果应用，进一步把握项目资金使用情况，总结管理经验，为下年度科学编制预算、提高资金使用效益提供参考依据。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二是进一步完善绩效指标科学性，特别是项目实施完成后，注重绩效评价质量，进一步提高三级指标的精准性。</w:t>
      </w:r>
    </w:p>
    <w:p>
      <w:pPr>
        <w:pStyle w:val="2"/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wordWrap/>
        <w:adjustRightIn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widowControl w:val="0"/>
        <w:wordWrap/>
        <w:adjustRightInd/>
        <w:snapToGrid w:val="0"/>
        <w:spacing w:line="240" w:lineRule="auto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德惠市教育局2024年教育事业费项目</w:t>
      </w:r>
    </w:p>
    <w:p>
      <w:pPr>
        <w:pStyle w:val="3"/>
        <w:widowControl w:val="0"/>
        <w:wordWrap/>
        <w:adjustRightInd/>
        <w:snapToGrid w:val="0"/>
        <w:spacing w:line="240" w:lineRule="auto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绩效评价报告摘要</w:t>
      </w:r>
    </w:p>
    <w:p>
      <w:pPr>
        <w:widowControl w:val="0"/>
        <w:wordWrap/>
        <w:adjustRightInd/>
        <w:spacing w:line="240" w:lineRule="auto"/>
        <w:rPr>
          <w:rFonts w:hint="eastAsia"/>
          <w:lang w:val="en-US" w:eastAsia="zh-CN"/>
        </w:rPr>
      </w:pPr>
    </w:p>
    <w:p>
      <w:pPr>
        <w:pStyle w:val="2"/>
        <w:widowControl w:val="0"/>
        <w:wordWrap/>
        <w:adjustRightInd/>
        <w:spacing w:line="24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一、项目资金投入及支出情况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4年，德惠市教育局2024年教育事业费项目全年预算数462万元。截至2024年12月31日，资金支出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160.16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万元，执行率为34.7%。</w:t>
      </w:r>
    </w:p>
    <w:p>
      <w:pPr>
        <w:widowControl w:val="0"/>
        <w:wordWrap/>
        <w:adjustRightInd/>
        <w:spacing w:line="240" w:lineRule="auto"/>
        <w:ind w:firstLine="640" w:firstLineChars="20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二、评价结论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综合得分90分，绩效评价结果为“优”。主要绩效有：弥补我市学校公用经费不足和改善办学条件，促进教育教学持续发展，提高教育质量，促进教育公平，保证学校正常运转。家长、师生满意度年末抽样调查为90.6%，达成预定目标。项目资金管理状况良好，项目单位财务管理制度健全，执行严格有效，本项目资金审批严格依据相关制度执行，工作程序规范，资金专款专用。</w:t>
      </w:r>
    </w:p>
    <w:p>
      <w:pPr>
        <w:widowControl w:val="0"/>
        <w:wordWrap/>
        <w:adjustRightInd/>
        <w:spacing w:line="240" w:lineRule="auto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三、存在问题及原因</w:t>
      </w:r>
    </w:p>
    <w:p>
      <w:pPr>
        <w:widowControl w:val="0"/>
        <w:wordWrap/>
        <w:adjustRightInd/>
        <w:spacing w:line="240" w:lineRule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绩效目标设置虽然已经细化，但不够量化，定性指标多而定量指标少。因财政资金紧张，综合衡量项目执行进度及重点领域投资需要，当年财政资金拨付进度较慢，项目预算执行率偏低。</w:t>
      </w:r>
    </w:p>
    <w:p>
      <w:pPr>
        <w:widowControl w:val="0"/>
        <w:wordWrap/>
        <w:adjustRightInd/>
        <w:spacing w:line="240" w:lineRule="auto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四、有关建议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进一步强化预算绩效管理主体责任意识，将绩效目标分解为可量化的绩效指标，适时通过数量指标提升目标设置的科学性，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组织集体学习、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参与视频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培训等方式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预算绩效管理水平，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加强预算绩效执行监控，强化绩效公开，合理评估项目实施进度，加快预算执行进度，切实提升财政资金使用效益。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widowControl w:val="0"/>
        <w:wordWrap/>
        <w:adjustRightInd/>
        <w:snapToGrid w:val="0"/>
        <w:spacing w:line="240" w:lineRule="auto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长春大合生物技术开发有限公司发展资金</w:t>
      </w:r>
    </w:p>
    <w:p>
      <w:pPr>
        <w:pStyle w:val="3"/>
        <w:widowControl w:val="0"/>
        <w:wordWrap/>
        <w:adjustRightInd/>
        <w:snapToGrid w:val="0"/>
        <w:spacing w:line="240" w:lineRule="auto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绩效评价报告摘要</w:t>
      </w:r>
    </w:p>
    <w:p>
      <w:pPr>
        <w:wordWrap/>
        <w:adjustRightInd/>
        <w:spacing w:line="240" w:lineRule="auto"/>
        <w:rPr>
          <w:rFonts w:hint="eastAsia"/>
          <w:lang w:val="en-US" w:eastAsia="zh-CN"/>
        </w:rPr>
      </w:pPr>
    </w:p>
    <w:p>
      <w:pPr>
        <w:wordWrap/>
        <w:adjustRightInd/>
        <w:spacing w:line="24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一、项目资金投入及支出情况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2024年，长春大合生物技术开发有限公司发展资金项目全年预算数6200万元。截至2024年12月31日，资金支出6200万元，执行率为100%。</w:t>
      </w:r>
    </w:p>
    <w:p>
      <w:pPr>
        <w:wordWrap/>
        <w:adjustRightInd/>
        <w:spacing w:line="240" w:lineRule="auto"/>
        <w:ind w:firstLine="640" w:firstLineChars="20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二、评价结论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综合得分99分，绩效评价结果为“优”。主要绩效有：长春大合生物技术开发有限公司德惠园区内建有14个生产车间、1个实验中心、1个质检中心，大合公司拥有1条淀粉生产线、2条糖生产线、1条赖氨酸盐酸盐生产线、2条赖氨酸硫酸盐生产线、1条小品种氨基酸生产线。2024年玉米破碎量为438672吨，氨基酸总产量为254605吨，副产品产量为97022.8吨，实现产值18.74亿元。</w:t>
      </w:r>
    </w:p>
    <w:p>
      <w:pPr>
        <w:wordWrap/>
        <w:adjustRightInd/>
        <w:spacing w:line="240" w:lineRule="auto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三、存在问题及原因</w:t>
      </w:r>
    </w:p>
    <w:p>
      <w:pPr>
        <w:wordWrap/>
        <w:adjustRightInd/>
        <w:spacing w:line="24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预算绩效管理体系建设和推进不到位。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对于政府资金的使用和管理水平已经得到了一定程度的提高，绩效意识有所增强，开展中期绩效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监控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工作的作用有所发挥，但目前还存在一些细节管理不善的问题，绩效意识及绩效管理水平还有提升空间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wordWrap/>
        <w:adjustRightInd/>
        <w:spacing w:line="240" w:lineRule="auto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四、有关建议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内部监督机制，项目实施单位要建立健全内部监督制度，加强对项目资金使用和项目执行情况的内部审计和监督。明确内部监督职责，加强对关键岗位和关键环节的监督，确保项目资金安全、规范使用，项目执行符合相关规定和要求。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多元化的绩效评价指标体系，在保留财务指标的基础上，增加社会效益、环境效益、可持续影响等非财务指标，全面、客观地评价项目绩效。同时，要根据不同类型项目的特点，制定个性化的评价指标，提高评价指标的针对性和适用性。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widowControl w:val="0"/>
        <w:wordWrap/>
        <w:adjustRightInd/>
        <w:snapToGrid w:val="0"/>
        <w:spacing w:line="240" w:lineRule="auto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2024年社工岗人员工资及社保缴费</w:t>
      </w:r>
    </w:p>
    <w:p>
      <w:pPr>
        <w:pStyle w:val="3"/>
        <w:widowControl w:val="0"/>
        <w:wordWrap/>
        <w:adjustRightInd/>
        <w:snapToGrid w:val="0"/>
        <w:spacing w:line="240" w:lineRule="auto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绩效评价报告摘要</w:t>
      </w:r>
    </w:p>
    <w:p>
      <w:pPr>
        <w:wordWrap/>
        <w:adjustRightInd/>
        <w:spacing w:line="240" w:lineRule="auto"/>
        <w:rPr>
          <w:rFonts w:hint="eastAsia"/>
          <w:lang w:val="en-US" w:eastAsia="zh-CN"/>
        </w:rPr>
      </w:pPr>
    </w:p>
    <w:p>
      <w:pPr>
        <w:wordWrap/>
        <w:adjustRightInd/>
        <w:spacing w:line="24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一、项目资金投入及支出情况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2024年社工岗人员工资及社保缴费项目全年预算数558万元。截至2024年12月31日，资金支出512.86万元，执行率为91.9%。</w:t>
      </w:r>
    </w:p>
    <w:p>
      <w:pPr>
        <w:wordWrap/>
        <w:adjustRightInd/>
        <w:spacing w:line="240" w:lineRule="auto"/>
        <w:ind w:firstLine="640" w:firstLineChars="20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二、评价结论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综合得分96分，绩效评价结果为“优”。主要绩效有：及时足额支付社工岗人员工资及社会保障缴费，为相关工作人员经费提供有力保障，进而保障了社区相关工作得以顺利有序开展。所辖8个社区，以社工岗人员为主力推进方方面面工作，相关工作开展质量有所提高，产生的社会影响力有所提升，相应受益人群满意度大于99%。</w:t>
      </w:r>
    </w:p>
    <w:p>
      <w:pPr>
        <w:wordWrap/>
        <w:adjustRightInd/>
        <w:spacing w:line="240" w:lineRule="auto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三、存在问题及原因</w:t>
      </w:r>
    </w:p>
    <w:p>
      <w:pPr>
        <w:widowControl/>
        <w:shd w:val="clear" w:color="auto" w:fill="FFFFFF"/>
        <w:wordWrap/>
        <w:adjustRightInd/>
        <w:spacing w:line="240" w:lineRule="auto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本项目在实施过程中的各种痕迹资料未归档整理，装订成册。</w:t>
      </w:r>
    </w:p>
    <w:p>
      <w:pPr>
        <w:wordWrap/>
        <w:adjustRightInd/>
        <w:spacing w:line="240" w:lineRule="auto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四、有关建议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一是强化绩效目标管理。绩效目标是绩效监控和绩效跟踪的依据，是全过程预算绩效管理的基础和起点。建议在编制预算时结合部门职责、中长期规划等设置可考核的量化和细化绩效指标。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二是加强绩效过程管理。预算执行过程中，要完善绩效目标跟踪监控机制，定期采集和分析绩效运行情况，及时掌握绩效目标实现情况，发现绩效运行与原定绩效目标发生严重偏离时，及时采取措施予以纠正。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三是加强项目资料的归档工作，使项目资料整理装订成册便于管理。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widowControl w:val="0"/>
        <w:wordWrap/>
        <w:adjustRightInd/>
        <w:snapToGrid w:val="0"/>
        <w:spacing w:line="240" w:lineRule="auto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高龄老人生活补助绩效评价报告摘要</w:t>
      </w:r>
    </w:p>
    <w:p>
      <w:pPr>
        <w:wordWrap/>
        <w:adjustRightInd/>
        <w:spacing w:line="240" w:lineRule="auto"/>
        <w:rPr>
          <w:rFonts w:hint="eastAsia"/>
          <w:lang w:val="en-US" w:eastAsia="zh-CN"/>
        </w:rPr>
      </w:pPr>
    </w:p>
    <w:p>
      <w:pPr>
        <w:wordWrap/>
        <w:adjustRightInd/>
        <w:spacing w:line="24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一、项目资金投入及支出情况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2024年，高龄老人生活补助项目全年预算数864.6万元。截至2024年12月31日，资金支出864.6万元，执行率为100%。</w:t>
      </w:r>
    </w:p>
    <w:p>
      <w:pPr>
        <w:wordWrap/>
        <w:adjustRightInd/>
        <w:spacing w:line="240" w:lineRule="auto"/>
        <w:ind w:firstLine="640" w:firstLineChars="20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二、评价结论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综合得分97分，绩效评价结果为“优”。主要绩效有：加快推进老年人社会保障体系建设，为我市所有符合条件的80岁以上老年人提供津贴补贴发放，具体标准为80-89岁的25元/月/人，90-99岁的200元/月/人，100岁以上500元/月/人。高龄人员受益明显，取得了很好的社会效益。</w:t>
      </w:r>
    </w:p>
    <w:p>
      <w:pPr>
        <w:wordWrap/>
        <w:adjustRightInd/>
        <w:spacing w:line="240" w:lineRule="auto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三、存在问题及原因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民政局组织乡、镇（街）按月报送符合条件的高龄老人，并将不符合条件的人员及时剔除。由于该类人员居住比较分散，很多人不在辖区内居住，甚至在外地居住，动态掌握这部分人的生存状态困难较大，如不能及时发现人员死亡情况，容易造成多发追缴情况，增加工作量。</w:t>
      </w:r>
    </w:p>
    <w:p>
      <w:pPr>
        <w:wordWrap/>
        <w:adjustRightInd/>
        <w:spacing w:line="240" w:lineRule="auto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四、有关建议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存状态查验。因高龄老人多数随子女同住，有一部分分布在其他县区或外省。如何能够及时进行动态核查，保证能在第一时间发现高龄人员死亡，及时取消。建议部门根据工作需要，建立高龄津贴信息管理系统，并设置生存验证模块，设置自主生存验证小程序，由高龄人员自主进行生存验证。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3"/>
        <w:widowControl w:val="0"/>
        <w:wordWrap/>
        <w:adjustRightInd/>
        <w:snapToGrid w:val="0"/>
        <w:spacing w:line="240" w:lineRule="auto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德惠市东风污水处理厂一期、二期运营费</w:t>
      </w:r>
    </w:p>
    <w:p>
      <w:pPr>
        <w:pStyle w:val="3"/>
        <w:widowControl w:val="0"/>
        <w:wordWrap/>
        <w:adjustRightInd/>
        <w:snapToGrid w:val="0"/>
        <w:spacing w:line="240" w:lineRule="auto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绩效评价报告摘要</w:t>
      </w:r>
    </w:p>
    <w:p>
      <w:pPr>
        <w:wordWrap/>
        <w:adjustRightInd/>
        <w:spacing w:line="240" w:lineRule="auto"/>
        <w:rPr>
          <w:rFonts w:hint="eastAsia"/>
          <w:lang w:val="en-US" w:eastAsia="zh-CN"/>
        </w:rPr>
      </w:pPr>
    </w:p>
    <w:p>
      <w:pPr>
        <w:wordWrap/>
        <w:adjustRightInd/>
        <w:spacing w:line="24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一、项目资金投入及支出情况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2024年，德惠市东风污水处理厂一期、二期运营费项目全年预算数1512万元。截至2024年12月31日，资金支出1512万元，执行率为100%。</w:t>
      </w:r>
    </w:p>
    <w:p>
      <w:pPr>
        <w:wordWrap/>
        <w:adjustRightInd/>
        <w:spacing w:line="240" w:lineRule="auto"/>
        <w:ind w:firstLine="640" w:firstLineChars="20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二、评价结论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综合得分97分，绩效评价结果为“优”。主要绩效有：加强了水污染源头控制，完善水环境监测网络，强化重点水污染物排放总量控制制度，全面提升水环境质量，加快推进生态德惠建设。对城区居民生活污水收集，处理及净化后再利用。2024年，一期、二期共处理污水量 2120万吨，全年转运处置污泥31206.68吨，实现了达标排放。</w:t>
      </w:r>
    </w:p>
    <w:p>
      <w:pPr>
        <w:wordWrap/>
        <w:adjustRightInd/>
        <w:spacing w:line="240" w:lineRule="auto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三、存在问题及原因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预算执行的监控力度有待加强。尽管预算编制和执行情况总体良好，但在预算执行过程中，对资金使用的实时监控和动态调整仍有提升空间，以确保资金使用的最大效益。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项目管理的精细化程度需提高。项目在实施过程中，对项目的进度、质量和成本控制等方面的管理仍需加强，以确保项目目标的顺利实现。</w:t>
      </w:r>
    </w:p>
    <w:p>
      <w:pPr>
        <w:wordWrap/>
        <w:adjustRightInd/>
        <w:spacing w:line="240" w:lineRule="auto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四、有关建议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加强预算执行的监控和调整。建立更加完善的预算执行监控机制，定期对预算执行情况进行检查和分析，并根据实际情况进行动态调整，确保预算执行的合规性和有效性。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提升项目管理的精细化水平。加强对项目实施过程的管理和监督，建立项目管理的长效机制，明确项目责任人和任务分工，加强项目进度的跟踪和质量控制，确保项目目标的圆满完成。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wordWrap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highlight w:val="none"/>
          <w:u w:val="none"/>
          <w:lang w:val="en-US" w:eastAsia="zh-CN"/>
        </w:rPr>
      </w:pPr>
    </w:p>
    <w:p/>
    <w:sectPr>
      <w:footerReference r:id="rId7" w:type="default"/>
      <w:pgSz w:w="11906" w:h="16838"/>
      <w:pgMar w:top="2098" w:right="1474" w:bottom="1984" w:left="1587" w:header="851" w:footer="992" w:gutter="0"/>
      <w:pgNumType w:fmt="decimal" w:start="1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Calibri" w:cs="黑体"/>
        <w:sz w:val="18"/>
        <w:szCs w:val="22"/>
        <w:lang w:val="en-US" w:eastAsia="en-US" w:bidi="ar-SA"/>
      </w:rPr>
      <w:pict>
        <v:rect id="文本框 2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1"/>
    <w:pPr>
      <w:widowControl w:val="0"/>
      <w:spacing w:after="0" w:line="240" w:lineRule="auto"/>
    </w:pPr>
    <w:rPr>
      <w:rFonts w:ascii="Calibri" w:hAnsi="Calibri" w:eastAsia="Calibri" w:cs="黑体"/>
      <w:sz w:val="22"/>
      <w:szCs w:val="22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paragraph" w:customStyle="1" w:styleId="2">
    <w:name w:val="UserStyle_0"/>
    <w:next w:val="3"/>
    <w:qFormat/>
    <w:uiPriority w:val="0"/>
    <w:pPr>
      <w:textAlignment w:val="baseline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Index5"/>
    <w:basedOn w:val="1"/>
    <w:next w:val="1"/>
    <w:qFormat/>
    <w:uiPriority w:val="0"/>
    <w:pPr>
      <w:snapToGrid w:val="0"/>
      <w:spacing w:line="360" w:lineRule="auto"/>
      <w:ind w:firstLine="640" w:firstLineChars="200"/>
      <w:jc w:val="both"/>
      <w:textAlignment w:val="baseline"/>
    </w:pPr>
    <w:rPr>
      <w:rFonts w:ascii="黑体" w:hAnsi="黑体" w:eastAsia="黑体" w:cs="仿宋_GB2312"/>
      <w:bCs/>
      <w:kern w:val="0"/>
      <w:sz w:val="32"/>
      <w:szCs w:val="32"/>
      <w:lang w:val="en-US" w:eastAsia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2024-08-16T06:40:00Z</dcterms:created>
  <dc:creator>lenovo</dc:creator>
  <cp:lastModifiedBy>Administrator</cp:lastModifiedBy>
  <dcterms:modified xsi:type="dcterms:W3CDTF">2025-08-22T02:51:24Z</dcterms:modified>
  <dc:title>德惠市2024年预算绩效管理工作开展情况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D30E07EAA514425A9338ED76599FE0CF</vt:lpwstr>
  </property>
</Properties>
</file>