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2023年德惠市稳步推进预算绩效管理工作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财政部门紧紧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政府各项决策部署，始终坚持政策导向，强化政治担当，不断推进预算绩效管理向纵深开展，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较好完成了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一、规范管理、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统筹协调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夯实</w:t>
      </w:r>
      <w:r>
        <w:rPr>
          <w:rFonts w:hint="eastAsia" w:ascii="黑体" w:hAnsi="黑体" w:eastAsia="黑体" w:cs="黑体"/>
          <w:sz w:val="32"/>
          <w:szCs w:val="32"/>
        </w:rPr>
        <w:t>绩效管理基础工作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一是加强信息化建设。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建设要求，进一步细化工作任务，梳理工作流程规范，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已上线使用的绩效目标、监控等多项功能进行优化升级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为推动我市绩效管理水平迈上新台阶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提供了技术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二是做好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全程化指导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针对部门反映不懂绩效目标表、监控表、自评表“怎么填”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不了解一体化系统绩效管理业务流程等</w:t>
      </w:r>
      <w:r>
        <w:rPr>
          <w:rFonts w:hint="eastAsia" w:ascii="仿宋_GB2312" w:hAnsi="仿宋_GB2312" w:eastAsia="仿宋_GB2312" w:cs="仿宋_GB2312"/>
          <w:sz w:val="32"/>
          <w:szCs w:val="32"/>
        </w:rPr>
        <w:t>诉求，编制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操作手册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各部门预算绩效管理内容、各环节工作要点等做了详细的讲解，进一步提高了部门预算绩效管理业务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二、抓住关键、多措并举，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推动</w:t>
      </w:r>
      <w:r>
        <w:rPr>
          <w:rFonts w:hint="eastAsia" w:ascii="黑体" w:hAnsi="黑体" w:eastAsia="黑体" w:cs="黑体"/>
          <w:sz w:val="32"/>
          <w:szCs w:val="32"/>
        </w:rPr>
        <w:t>绩效管理提质增效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细化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加大绩效目标审核力度，对绩效目标存在问题的项目督促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单位修改完善，大幅提升了绩效目标的规范性、完整性及适当性。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优化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绩效监控。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绩效监控覆盖部门预算一级项目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，二级项目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低的二级项目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进行跟踪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了解项目实际开展情况，研判风险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因政策调整、突发事件等因素导致确实无法如期实施的项目削减或取消预算安排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绩效自评。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年度部门预算项目支出情况开展了绩效自评，覆盖二级项目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加强佐证材料与指标要素的相关性，做到“真自评、自评真”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聚焦民生保障政策、社会关注热点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项目实施重点评价，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涉及项目金额9463.5万元，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推动两类评价相互融合，在评价指标体系设置、资金效益以及问题挖掘、建议提出等方面做深做细，不断提高评价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附：2023年重点项目绩效评价报告摘要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  <w:t>2023年重点项目绩效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  <w:t>评价报告摘要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u w:val="non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right" w:leader="dot" w:pos="8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tabs>
          <w:tab w:val="right" w:leader="dot" w:pos="8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\l _Toc10717 </w:instrTex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 w:bidi="ar-SA"/>
        </w:rPr>
        <w:t>1.退役军人安置补助..............................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..1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\l _Toc19235 </w:instrTex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救灾物资和防汛物资管理.....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.....................3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\l _Toc18933 </w:instrTex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3.农村环卫外包服务费..............................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\l _Toc2359 </w:instrTex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4.农村公路管养..................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..................7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\l _Toc1825 </w:instrTex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lang w:val="en-US" w:eastAsia="zh-CN" w:bidi="ar-SA"/>
        </w:rPr>
        <w:t>5.净水厂原水水费及场地租金..............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..........9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\l _Toc27225 </w:instrTex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困难残疾人生活补贴..........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...................11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8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\l _Toc32154 </w:instrTex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7.义务教育公用经费和取暖费地方配套（含特殊教育）.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高中公用经费地方配套...........................15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1.退役军人安置补助项目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绩效评价报告摘要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一、项目资金投入及支出情况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3年，退役军人安置项目全年预算数524万元。截至2023年12月31日，资金支出463.71万元，执行率为88.5%。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综合得分96分，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绩效评价结果为“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”。主要绩效有：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德惠经济开发区管理委员会对在乡复员、退役军人按照相关文件规定做好退役士兵就业安置工作，促进退役士兵自主就业，切实维护广大退役士兵合法权益。从发放情况来看，能够及时为他们缴纳基本社会保险费，缓解了士兵就业难题，一定程度上有利于维护社会和谐稳定，退役士兵群体总体对安置工作比较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设置科学性、完整性有待进一步提高，特别是数量指标、社会效益指标中的三级指标名称不规范，未能充分体现指标设置的科学性和可理解性，指标设置单一。在预算编制环节，预期项目支出金额与全年实际执行数据存在一定差异，预算资金执行率有待进一步提高，未能充分发挥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一是通过绩效评价，强化评价结果应用，进一步把握项目资金使用情况，总结管理经验，为下年度科学编制预算、提高资金使用效益提供参考依据。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二是进一步完善绩效指标设置科学性，特别是项目实施完成后，注重绩效评价质量，进一步提高三级指标的精准性。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2.救灾物资和防汛物资管理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一、项目资金投入及支出情况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救灾物资和防汛物资管理项目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截至2023年12月31日，实际支出46.65万元，执行率为77.8%。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综合得分92.1分，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绩效评价结果为“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”。主要绩效有：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共有防汛物资储备库2座，按照防汛救灾管理有关规定，对发电机、柴油、汽油机等机械设备进行维修维护，日常消杀及消防设施维养，保障棉衣、棉褥、编织袋等物资的正常使用，以更好确保我市防汛救灾工作顺利稳定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成本指标来看，年初计划项目支出所需资金60万元，主管部门在预算执行中，从严从紧安排项目支出，本年实际发生支出46.65万元；从时效指标来看，主管部门组织工作人员，及时对救灾物资进行维护保养；从满意度指标分析，各乡镇对应急物资库调配情况比较满意，满意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设置虽然已经细化，但不够量化，没有充分考虑到工作内容的多样性，指标设置针对性不强，定性指标多而定量指标少，编报质量有待进一步提升。在项目执行过程中，资金支出全年间不够平稳，从中期执行监控情况来看，前7个月支出金额仅为9.46万元，即大部分支出都安排在了下半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救灾物资和防汛物资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加强应急处置和风险防范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强化支出管理，合理安排资金支出规划。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绩效目标进一步量化，努力消除管理中可能存在的死角漏洞，将绩效目标、评价结果随同预决算及时公开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，广泛接受社会监督。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3.农村环卫外包服务费绩效评价报告摘要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一、项目资金投入及支出情况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农村环卫外包服务费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截至2023年12月31日，实际支出5168.08万元，执行率为96.9%。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97.3分，绩效评价结果为“优”。主要绩效有：2023年我市农村生活垃圾基本实现“日产日清”“零填埋”，第三方服务企业运行稳定。服务人口75.46万人，农村生活垃圾有效处理率100%，农村村庄保洁覆盖率100%，群众满意度95%。住建局制定了相关管理办法、管理制度和考核细则，组成了农村生活垃圾治理日常巡查小组，对全市农村生活垃圾收运转体系进行实时监管。有效地保证村庄的整洁，打造宜居乡村，使农村居民的生活环境能够得到可持续性发展，且培养、鼓励农民参与到垃圾治理的过程中，进一步提升居民的环保意识，为新型农村建设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绩效目标设置不全面。绩效指标不明确，未能体现项目要实现的质量、时效要求以及项目实施的预期效益，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绩效指标数量少，缺乏对项目基本概况的表述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强化预算绩效管理主体责任意识，将绩效目标分解为可量化的绩效指标，适时通过数量指标提升目标设置的科学性，在开展绩效评价满意度调查时，提高问卷的针对性，考虑到受益对象群体广泛，探索开展网络问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组织集体学习、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加强预算绩效执行监控，强化绩效公开。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4.农村公路管养项目绩效评价报告摘要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一、项目资金投入及支出情况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3年，农村公路管养项目预算安排400万元。截至2023年12月31日，实际支出400万元，执行率为100%。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该项目综合得分94.7分，绩效评价结果为“优”。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主要绩效有：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为保障乡村公路较好的使用状态，管养不脱节，对域内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乡村公路小修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灌缝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养护。主要内容包括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乡村公路使用过程中出现的裂缝病害修补，通过沥青灌缝对路面上的裂缝病害进行填充封堵，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避免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路面积水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资金到位率100%，农村公路畅通性显著提升，畅通率达到100%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农村公路安全系数，保障农村公路日常使用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绩效管理有待进一步加强，绩效目标设置中个别三级指标未能通过清晰、量化、可衡量的指标值体现；在年度绩效目标中未对项目预期效果进行阐述，仅描述完成全年既定目标；受益群体广泛的项目建议增设满意度指标，以更好体现项目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绩效目标设定工作的规范性，建议项目单位依据年度工作计划设定项目总目标，根据项目总目标结合施工进度计划的工作项目、工作量、工作明细等对应的资金额设定年度绩效目标。以年度绩效目标为指导，并做好绩效事中监控，确定项目在产出、效益两个方面的具体的、量化的、相关的、重要性与代表性相结合的绩效指标，指导项目的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5.净水厂原水水费及场地租金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一、项目资金投入及支出情况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3年，净水厂原水水费及场地租金项目预算安排500万元，其中，原水水费300万元，场地租赁费200万元。截至2023年12月31日，实际支出0万元，执行率为0%。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该项目综合得分80.7分，绩效评价结果为“良”。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主要绩效有：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净水厂通过城市供水公司从石头口门引水，为米沙子大学城及周边居民、商铺等提供生产及生活用水，保障我市城市供水及时、质量安全。该项目决策指标权重15分，得分11.7分；过程指标权重15分，得分4分；产出指标权重50分，得分50分；效益指标权重20分，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资金绩效目标不明确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单位在申报预算时仅指明项目资金的大致用途，而未明确项目资金具体的绩效目标，由于项目资金事先未确定清晰、细化、可衡量的绩效目标，不便于事中事后对项目资金进行更好的绩效跟踪和绩效评价。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该项目在2023年预算执行过程中未发生实际支出，预算执行率低。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抓好抓实绩效目标管理工作，在申报专项资金时应编制科学合理的项目绩效目标，做到绩效目标明确、细化、量化，并与目标任务数或计划数相对应。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预算单位应</w:t>
      </w:r>
      <w:r>
        <w:rPr>
          <w:rFonts w:hint="eastAsia" w:ascii="仿宋_GB2312" w:hAnsi="仿宋_GB2312" w:eastAsia="仿宋_GB2312" w:cs="仿宋_GB2312"/>
          <w:sz w:val="32"/>
          <w:szCs w:val="32"/>
        </w:rPr>
        <w:t>逐步建立起与之相适应的“前期绩效目标管理、事中绩效跟踪监控和事后绩效评价”相结合的绩效管理体系，形成科学规范、具有可操作性的绩效管理机制，切实提高财政资金使用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6.困难残疾人生活补贴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绩效评价报告摘要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一、项目资金投入及支出情况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2023年，我市困难残疾人生活补贴项目预算安排576万元。截至2023年12月31日，实际支出568.1万元，执行率98.6%。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该项目综合得分99.4分，绩效评价结果为“优”。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主要绩效有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采用社会化发放的方式，按国家残疾人两项补贴管理系统实际在册人员数量和标准自动核算。经过严格审核，对所有符合条件的困难残疾人发放补贴，补贴标准为每人每月80元，全年实际发放5896人次，资金执行率98.6%。项目实施后，受益群体满意度达到99%，基本实现了年初项目设立时的既定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残疾人人户分离情况居多，动态管理比较困难，特别是大部分残疾人随子女在外地生活，很难掌握残疾人的生存情况，日常管理难度大。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预算单位完善内部绩效管理机制，指派专人专岗负责，强化全流程绩效管理水平，加强对新增残疾人的审核管理，为更好保证服务质量，强化对资助政策的宣传，根据国家相关政策调整，按月及时兑付困难残疾人生活补贴，保证我市困难残疾人合法权益，进一步减轻其生活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7.义务教育公用经费和取暖费地方配套资金（含特殊教育）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绩效评价报告摘要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一、项目资金投入及支出情况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2023年，我市义务教育公用经费和取暖费地方配套（含特教）项目预算安排1256万元。截至2023年12月31日，实际支出1256万元，执行率100%。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该项目综合得分97.5分，绩效评价结果为“优”。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主要绩效有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：义</w:t>
      </w:r>
      <w:r>
        <w:rPr>
          <w:rFonts w:hint="eastAsia" w:ascii="仿宋_GB2312" w:hAnsi="仿宋_GB2312" w:eastAsia="仿宋_GB2312" w:cs="仿宋_GB2312"/>
          <w:sz w:val="32"/>
          <w:szCs w:val="32"/>
        </w:rPr>
        <w:t>务教育公用经费和取暖费地方配套资金达到义务教育生均标准，小学每生每年650元，初中每生每年850元，取暖费生均标准每生每年185元，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特殊教育和随班就读学生每生每年6000元。根据中央、省和地方事权比例承担，按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规定时限，分春、秋两季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于2月、9月份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及时拨付资金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促进了义务教育阶段学校均衡发展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和教育质量的提高，师生满意度达到90.8%。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绩效目标设置虽然已经细化，但不够量化，定性指标多而定量指标少，数量指标未能充分体现受益对象人数。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继续做好义务教育公用经费和取暖费地方配套资金执行工作，做好相关政策的宣传，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强化支出管理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加强对下属单位的跟踪指导和执行监督，</w:t>
      </w:r>
      <w:r>
        <w:rPr>
          <w:rFonts w:hint="eastAsia" w:ascii="仿宋_GB2312" w:hAnsi="仿宋_GB2312" w:eastAsia="仿宋_GB2312" w:cs="仿宋_GB2312"/>
          <w:sz w:val="32"/>
          <w:szCs w:val="32"/>
        </w:rPr>
        <w:t>圆满完成义务教育公用经费和取暖费地方配套资金发放工作。同时，将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绩效目标进一步量化，绩效目标、评价结果随同预决算及时公开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，广泛接受社会监督。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8.高中公用经费地方配套资金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绩效评价报告摘要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一、项目资金投入及支出情况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2023年，我市高中公用经费地方配套项目预算安排814万元。截至2023年12月31日，实际支出707.77万元，执行率86.9%。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该项目综合得分90.2分，绩效评价结果为“优”。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主要绩效有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保障义务教育阶段经费，确保按地方应承担比例落实支出责任，严格按照业务管理制度，完善审批流程和手续，坚持专款专用，对普通高中按每生每年不低于550元标准落实日常经费保障，维持学校正常运转需要，保证适龄青少年接受高中教育，提高国民素质。分春、秋两季及时拨付资金。 师生及家长对该项目满意度达到92.1%。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设置虽然已经细化，但不够量化，定性指标多而定量指标少。因生源数量每年都有一定的变动，数量指标未能充分体现受益对象人数，数量指标下设的三级指标名称针对性不强，指标值设置不够量化。全年预期目标描述简单宽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进一步强化预算绩效管理主体责任意识，将绩效目标分解为可量化的绩效指标，强化预期管理，加强项目谋划前期准备工作，该项目为落实教育领域基本民生政策，建议主管部门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组织集体学习、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加强预算绩效执行监控，强化绩效公开。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048F"/>
    <w:multiLevelType w:val="singleLevel"/>
    <w:tmpl w:val="52A5048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A14DE"/>
    <w:rsid w:val="00365490"/>
    <w:rsid w:val="045C7931"/>
    <w:rsid w:val="06FB6551"/>
    <w:rsid w:val="0C240E48"/>
    <w:rsid w:val="0D573400"/>
    <w:rsid w:val="0D575148"/>
    <w:rsid w:val="0FCE24F1"/>
    <w:rsid w:val="13AE4E2C"/>
    <w:rsid w:val="14EE6CD5"/>
    <w:rsid w:val="1555260E"/>
    <w:rsid w:val="20D25DEB"/>
    <w:rsid w:val="23AC0921"/>
    <w:rsid w:val="2E1A017B"/>
    <w:rsid w:val="2E7E018E"/>
    <w:rsid w:val="2EA62DFB"/>
    <w:rsid w:val="2FB856C6"/>
    <w:rsid w:val="325A14DE"/>
    <w:rsid w:val="332764D7"/>
    <w:rsid w:val="34F510EC"/>
    <w:rsid w:val="385F3D9D"/>
    <w:rsid w:val="3BBF5935"/>
    <w:rsid w:val="3CA34F02"/>
    <w:rsid w:val="412B0235"/>
    <w:rsid w:val="43150D34"/>
    <w:rsid w:val="46BC7ADF"/>
    <w:rsid w:val="491A4732"/>
    <w:rsid w:val="4F344B94"/>
    <w:rsid w:val="5339046B"/>
    <w:rsid w:val="53CE4F1E"/>
    <w:rsid w:val="54882B37"/>
    <w:rsid w:val="54C13D49"/>
    <w:rsid w:val="559F5284"/>
    <w:rsid w:val="584F4944"/>
    <w:rsid w:val="5BAE6911"/>
    <w:rsid w:val="5DD43468"/>
    <w:rsid w:val="651446B9"/>
    <w:rsid w:val="65447821"/>
    <w:rsid w:val="65457AE6"/>
    <w:rsid w:val="66BD0863"/>
    <w:rsid w:val="6D225752"/>
    <w:rsid w:val="6EC739C6"/>
    <w:rsid w:val="6ECF51B4"/>
    <w:rsid w:val="6FA56875"/>
    <w:rsid w:val="72550060"/>
    <w:rsid w:val="7A5A4C30"/>
    <w:rsid w:val="7C2A5760"/>
    <w:rsid w:val="7D3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textAlignment w:val="baseline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Index5"/>
    <w:basedOn w:val="1"/>
    <w:next w:val="1"/>
    <w:qFormat/>
    <w:uiPriority w:val="0"/>
    <w:pPr>
      <w:snapToGrid w:val="0"/>
      <w:spacing w:line="360" w:lineRule="auto"/>
      <w:ind w:firstLine="640" w:firstLineChars="200"/>
      <w:jc w:val="both"/>
      <w:textAlignment w:val="baseline"/>
    </w:pPr>
    <w:rPr>
      <w:rFonts w:ascii="黑体" w:hAnsi="黑体" w:eastAsia="黑体" w:cs="仿宋_GB2312"/>
      <w:bCs/>
      <w:kern w:val="0"/>
      <w:sz w:val="32"/>
      <w:szCs w:val="32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2024-08-16T06:40:00Z</dcterms:created>
  <dc:creator>lenovo</dc:creator>
  <cp:lastModifiedBy>lenovo</cp:lastModifiedBy>
  <dcterms:modified xsi:type="dcterms:W3CDTF">2024-08-16T07:15:11Z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