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C14C"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 w14:paraId="00F6FCED">
      <w:pPr>
        <w:pStyle w:val="5"/>
        <w:spacing w:line="251" w:lineRule="auto"/>
      </w:pPr>
    </w:p>
    <w:p w14:paraId="20485FCE">
      <w:pPr>
        <w:pStyle w:val="5"/>
        <w:spacing w:line="251" w:lineRule="auto"/>
      </w:pPr>
    </w:p>
    <w:p w14:paraId="0A0F4011">
      <w:pPr>
        <w:pStyle w:val="5"/>
        <w:spacing w:line="252" w:lineRule="auto"/>
      </w:pPr>
    </w:p>
    <w:p w14:paraId="3A177AF3">
      <w:pPr>
        <w:pStyle w:val="5"/>
        <w:spacing w:line="252" w:lineRule="auto"/>
      </w:pPr>
    </w:p>
    <w:p w14:paraId="5150F9F4">
      <w:pPr>
        <w:pStyle w:val="5"/>
        <w:spacing w:line="252" w:lineRule="auto"/>
      </w:pPr>
    </w:p>
    <w:p w14:paraId="4990BE06">
      <w:pPr>
        <w:pStyle w:val="5"/>
        <w:spacing w:line="252" w:lineRule="auto"/>
      </w:pPr>
    </w:p>
    <w:p w14:paraId="7387012B">
      <w:pPr>
        <w:pStyle w:val="5"/>
        <w:spacing w:line="252" w:lineRule="auto"/>
      </w:pPr>
    </w:p>
    <w:p w14:paraId="0F04D95A">
      <w:pPr>
        <w:pStyle w:val="5"/>
        <w:spacing w:line="252" w:lineRule="auto"/>
      </w:pPr>
    </w:p>
    <w:p w14:paraId="12897043">
      <w:pPr>
        <w:pStyle w:val="5"/>
        <w:spacing w:line="252" w:lineRule="auto"/>
      </w:pPr>
    </w:p>
    <w:p w14:paraId="41884FA8">
      <w:pPr>
        <w:pStyle w:val="5"/>
        <w:spacing w:line="252" w:lineRule="auto"/>
      </w:pPr>
    </w:p>
    <w:p w14:paraId="7C7091B7">
      <w:pPr>
        <w:pStyle w:val="5"/>
        <w:spacing w:line="252" w:lineRule="auto"/>
      </w:pPr>
    </w:p>
    <w:p w14:paraId="0FB3C319">
      <w:pPr>
        <w:pStyle w:val="5"/>
        <w:spacing w:line="252" w:lineRule="auto"/>
      </w:pPr>
    </w:p>
    <w:p w14:paraId="4A4B4644">
      <w:pPr>
        <w:pStyle w:val="5"/>
        <w:spacing w:line="252" w:lineRule="auto"/>
      </w:pPr>
    </w:p>
    <w:p w14:paraId="58280A25"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 w14:paraId="1EBE4867">
      <w:pPr>
        <w:pStyle w:val="5"/>
        <w:spacing w:line="477" w:lineRule="auto"/>
      </w:pPr>
    </w:p>
    <w:p w14:paraId="0CDC8268">
      <w:pPr>
        <w:jc w:val="center"/>
        <w:rPr>
          <w:rFonts w:ascii="仿宋" w:hAnsi="仿宋" w:eastAsia="仿宋" w:cs="Arial"/>
          <w:sz w:val="44"/>
          <w:szCs w:val="44"/>
        </w:rPr>
      </w:pPr>
      <w:r>
        <w:rPr>
          <w:rFonts w:hint="eastAsia" w:ascii="仿宋" w:hAnsi="仿宋" w:eastAsia="仿宋" w:cs="Arial"/>
          <w:sz w:val="44"/>
          <w:szCs w:val="44"/>
          <w:lang w:eastAsia="zh-CN"/>
        </w:rPr>
        <w:t>德惠市粮食和物资储备局</w:t>
      </w:r>
      <w:r>
        <w:rPr>
          <w:rFonts w:ascii="仿宋" w:hAnsi="仿宋" w:eastAsia="仿宋" w:cs="Arial"/>
          <w:sz w:val="44"/>
          <w:szCs w:val="44"/>
        </w:rPr>
        <w:t>部门决算</w:t>
      </w:r>
      <w:r>
        <w:rPr>
          <w:rFonts w:hint="eastAsia" w:ascii="仿宋" w:hAnsi="仿宋" w:eastAsia="仿宋" w:cs="Arial"/>
          <w:sz w:val="44"/>
          <w:szCs w:val="44"/>
          <w:lang w:val="en-US" w:eastAsia="zh-CN"/>
        </w:rPr>
        <w:t>(汇总）</w:t>
      </w:r>
    </w:p>
    <w:p w14:paraId="386BC729">
      <w:pPr>
        <w:jc w:val="center"/>
        <w:rPr>
          <w:rFonts w:ascii="仿宋" w:hAnsi="仿宋" w:eastAsia="仿宋" w:cs="Arial"/>
          <w:sz w:val="44"/>
          <w:szCs w:val="44"/>
        </w:rPr>
      </w:pPr>
    </w:p>
    <w:p w14:paraId="71CC4E2E">
      <w:pPr>
        <w:pStyle w:val="5"/>
        <w:spacing w:line="242" w:lineRule="auto"/>
      </w:pPr>
    </w:p>
    <w:p w14:paraId="7791EFA8">
      <w:pPr>
        <w:pStyle w:val="5"/>
        <w:spacing w:line="242" w:lineRule="auto"/>
      </w:pPr>
    </w:p>
    <w:p w14:paraId="32733296">
      <w:pPr>
        <w:pStyle w:val="5"/>
        <w:spacing w:line="242" w:lineRule="auto"/>
      </w:pPr>
    </w:p>
    <w:p w14:paraId="164B012E">
      <w:pPr>
        <w:pStyle w:val="5"/>
        <w:spacing w:line="242" w:lineRule="auto"/>
      </w:pPr>
    </w:p>
    <w:p w14:paraId="725BF888">
      <w:pPr>
        <w:pStyle w:val="5"/>
        <w:spacing w:line="242" w:lineRule="auto"/>
      </w:pPr>
    </w:p>
    <w:p w14:paraId="2435196E">
      <w:pPr>
        <w:pStyle w:val="5"/>
        <w:spacing w:line="242" w:lineRule="auto"/>
      </w:pPr>
    </w:p>
    <w:p w14:paraId="79F4483E">
      <w:pPr>
        <w:pStyle w:val="5"/>
        <w:spacing w:line="242" w:lineRule="auto"/>
      </w:pPr>
    </w:p>
    <w:p w14:paraId="69B5160C">
      <w:pPr>
        <w:pStyle w:val="5"/>
        <w:spacing w:line="242" w:lineRule="auto"/>
      </w:pPr>
    </w:p>
    <w:p w14:paraId="35C610D1">
      <w:pPr>
        <w:pStyle w:val="5"/>
        <w:spacing w:line="242" w:lineRule="auto"/>
      </w:pPr>
    </w:p>
    <w:p w14:paraId="3A4F1F72">
      <w:pPr>
        <w:pStyle w:val="5"/>
        <w:spacing w:line="242" w:lineRule="auto"/>
      </w:pPr>
    </w:p>
    <w:p w14:paraId="3591FD07">
      <w:pPr>
        <w:pStyle w:val="5"/>
        <w:spacing w:line="242" w:lineRule="auto"/>
      </w:pPr>
    </w:p>
    <w:p w14:paraId="30048492">
      <w:pPr>
        <w:pStyle w:val="5"/>
        <w:spacing w:line="243" w:lineRule="auto"/>
      </w:pPr>
    </w:p>
    <w:p w14:paraId="03DCE15D">
      <w:pPr>
        <w:pStyle w:val="5"/>
        <w:spacing w:line="243" w:lineRule="auto"/>
      </w:pPr>
    </w:p>
    <w:p w14:paraId="7DCDED6B">
      <w:pPr>
        <w:pStyle w:val="5"/>
        <w:spacing w:line="243" w:lineRule="auto"/>
      </w:pPr>
    </w:p>
    <w:p w14:paraId="4B801CB8">
      <w:pPr>
        <w:pStyle w:val="5"/>
        <w:spacing w:line="243" w:lineRule="auto"/>
      </w:pPr>
    </w:p>
    <w:p w14:paraId="554BBDDC">
      <w:pPr>
        <w:pStyle w:val="5"/>
        <w:spacing w:line="243" w:lineRule="auto"/>
      </w:pPr>
    </w:p>
    <w:p w14:paraId="316AD485">
      <w:pPr>
        <w:pStyle w:val="5"/>
        <w:spacing w:line="243" w:lineRule="auto"/>
      </w:pPr>
    </w:p>
    <w:p w14:paraId="25CE4DB8">
      <w:pPr>
        <w:pStyle w:val="5"/>
        <w:spacing w:line="243" w:lineRule="auto"/>
      </w:pPr>
    </w:p>
    <w:p w14:paraId="03E7A067">
      <w:pPr>
        <w:pStyle w:val="5"/>
        <w:spacing w:line="243" w:lineRule="auto"/>
      </w:pPr>
    </w:p>
    <w:p w14:paraId="4C12A4DB">
      <w:pPr>
        <w:pStyle w:val="5"/>
        <w:spacing w:line="243" w:lineRule="auto"/>
      </w:pPr>
    </w:p>
    <w:p w14:paraId="2DF1FC79"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11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 w14:paraId="374EBE63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7" w:h="16839"/>
          <w:pgMar w:top="1431" w:right="1785" w:bottom="1153" w:left="1785" w:header="0" w:footer="965" w:gutter="0"/>
          <w:pgNumType w:fmt="decimal" w:start="1"/>
          <w:cols w:space="720" w:num="1"/>
        </w:sectPr>
      </w:pPr>
    </w:p>
    <w:p w14:paraId="72375D56">
      <w:pPr>
        <w:pStyle w:val="5"/>
        <w:spacing w:line="289" w:lineRule="auto"/>
      </w:pPr>
    </w:p>
    <w:p w14:paraId="5BE27D9A">
      <w:pPr>
        <w:pStyle w:val="5"/>
        <w:spacing w:line="290" w:lineRule="auto"/>
      </w:pPr>
    </w:p>
    <w:p w14:paraId="57210DD5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 w14:paraId="5870AEEF">
      <w:pPr>
        <w:pStyle w:val="5"/>
        <w:spacing w:line="341" w:lineRule="auto"/>
      </w:pPr>
    </w:p>
    <w:p w14:paraId="18196F48">
      <w:pPr>
        <w:pStyle w:val="5"/>
        <w:spacing w:line="342" w:lineRule="auto"/>
      </w:pPr>
    </w:p>
    <w:p w14:paraId="671FA1DE"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 w14:paraId="5606A800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 w14:paraId="23BE906E"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 w14:paraId="7348E202"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 w14:paraId="767529CA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 w14:paraId="2AD8CCE6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 w14:paraId="49955E56"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 w14:paraId="67361CC3"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 w14:paraId="53FDAFEC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 w14:paraId="25330E80"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 w14:paraId="6077E8AC"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 w14:paraId="237DB45D"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 w14:paraId="1C1A8E7B"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 w14:paraId="7F7F7DF8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 w14:paraId="0839B10E"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 w14:paraId="0AD03087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 w14:paraId="684A2C3E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 w14:paraId="6AB8B1CB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 w14:paraId="189C9044"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 w14:paraId="793F94B3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pgNumType w:fmt="decimal" w:start="1"/>
          <w:cols w:space="720" w:num="1"/>
        </w:sectPr>
      </w:pPr>
    </w:p>
    <w:p w14:paraId="6ACA0EFF"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 w14:paraId="2A18811E"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 w14:paraId="56BF8FD1"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 w14:paraId="0B49D2E2"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 w14:paraId="1EAC6CCB"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 w14:paraId="7A4E86F7"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 w14:paraId="149E6D94"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 w14:paraId="37283820"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 w14:paraId="423303A6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697B858D">
      <w:pPr>
        <w:pStyle w:val="5"/>
        <w:spacing w:line="328" w:lineRule="auto"/>
      </w:pPr>
    </w:p>
    <w:p w14:paraId="158BF96D">
      <w:pPr>
        <w:pStyle w:val="5"/>
        <w:spacing w:line="328" w:lineRule="auto"/>
      </w:pPr>
    </w:p>
    <w:p w14:paraId="1301F50C"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 w14:paraId="54A9D138">
      <w:pPr>
        <w:pStyle w:val="5"/>
        <w:spacing w:line="314" w:lineRule="auto"/>
      </w:pPr>
    </w:p>
    <w:p w14:paraId="4C1E7E1F">
      <w:pPr>
        <w:pStyle w:val="5"/>
        <w:spacing w:line="314" w:lineRule="auto"/>
      </w:pPr>
    </w:p>
    <w:p w14:paraId="3558D680">
      <w:pPr>
        <w:pStyle w:val="5"/>
        <w:spacing w:line="315" w:lineRule="auto"/>
      </w:pPr>
    </w:p>
    <w:p w14:paraId="67CFD3B6">
      <w:pPr>
        <w:spacing w:before="101" w:line="224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 w14:paraId="4A85FBDB">
      <w:pPr>
        <w:spacing w:before="251" w:line="224" w:lineRule="auto"/>
        <w:ind w:firstLine="1176" w:firstLineChars="4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(一)起草全市粮食流通和物资储备管理有关规范性文件，研究提出全市粮食流通和物资储备体制改革方案并组织实施。</w:t>
      </w:r>
    </w:p>
    <w:p w14:paraId="20BDEFF3">
      <w:pPr>
        <w:spacing w:before="251" w:line="224" w:lineRule="auto"/>
        <w:ind w:firstLine="1176" w:firstLineChars="4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(二)贯彻落实国家、省、市级战略物资储备规划，提出本市战略物资储备规划、品种目录的建议。组织实施国家、省、市战略和应急储备物资的收储、轮换和日常管理，落实有关动用计划和指令。</w:t>
      </w:r>
    </w:p>
    <w:p w14:paraId="4C0FDA1C">
      <w:pPr>
        <w:spacing w:before="251" w:line="224" w:lineRule="auto"/>
        <w:ind w:left="304" w:leftChars="145" w:firstLine="570" w:firstLineChars="194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(三)管理全市粮食、棉花、食糖和食盐等储备;监测粮食和储备物资供求变化并预测预警;组织落实全市军粮供应服务保障工作;承担全市粮食流通宏观调控具体工作。</w:t>
      </w:r>
    </w:p>
    <w:p w14:paraId="17925030">
      <w:pPr>
        <w:spacing w:before="251" w:line="224" w:lineRule="auto"/>
        <w:ind w:firstLine="882" w:firstLineChars="3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(四)组织实施粮食和物资储备仓储管理有关技术标准和规范。</w:t>
      </w:r>
    </w:p>
    <w:p w14:paraId="34CC3728">
      <w:pPr>
        <w:spacing w:before="251" w:line="224" w:lineRule="auto"/>
        <w:ind w:firstLine="882" w:firstLineChars="3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(五)根据国家、省、市储备总体发展规划，统一负责储备基础设施建设和管理。拟订全市储备基础设施、粮食流通设施建设规划并组织实施。管理有关储备基础设施和粮食流通设施投资项目。</w:t>
      </w:r>
    </w:p>
    <w:p w14:paraId="031F6651">
      <w:pPr>
        <w:spacing w:before="251" w:line="224" w:lineRule="auto"/>
        <w:ind w:firstLine="882" w:firstLineChars="3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(六)负责对管理的政府储备、企业储备以及储备政策落实情况进行监督检查。负责粮食流通监督检查，负责粮食收购、储存、运输等环节粮食质量安全和原粮卫生的监督管理，组织实施粮食库存检查工作。</w:t>
      </w:r>
    </w:p>
    <w:p w14:paraId="3F03C66C">
      <w:pPr>
        <w:spacing w:before="251" w:line="224" w:lineRule="auto"/>
        <w:ind w:firstLine="882" w:firstLineChars="3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(七)负责全市粮食流通行业管理，制定行业发展规划政策，贯彻落实粮食流通和储备有关地方标准、粮食质量标准，制定有关技术规范并监督执行。推动“德惠大米”品牌建设，发展粮食产业经济。开展产销协作和对口合作。负责粮食和物资储备的对外合作与交流。</w:t>
      </w:r>
    </w:p>
    <w:p w14:paraId="222F0307">
      <w:pPr>
        <w:spacing w:before="251" w:line="224" w:lineRule="auto"/>
        <w:ind w:left="672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　　(八)承担主管行业领域的安全生产管理职责，指导督促企事业单位加强安全管理。依照有关法律、法规的规定履行安全生产监督管理职责，开展监管执法工作。</w:t>
      </w:r>
    </w:p>
    <w:p w14:paraId="11BBD402">
      <w:pPr>
        <w:spacing w:before="251" w:line="224" w:lineRule="auto"/>
        <w:ind w:left="672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　　(九) 负责全市盐业市场行政管理工作。</w:t>
      </w:r>
    </w:p>
    <w:p w14:paraId="0ADAEA0C">
      <w:pPr>
        <w:spacing w:before="251" w:line="224" w:lineRule="auto"/>
        <w:ind w:left="672" w:firstLine="588" w:firstLineChars="2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(十)完成市委、市政府交办的其他任务。</w:t>
      </w:r>
    </w:p>
    <w:p w14:paraId="7BF51E56">
      <w:pPr>
        <w:spacing w:before="251" w:line="224" w:lineRule="auto"/>
        <w:ind w:left="672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　  (十一)职能转变。</w:t>
      </w:r>
    </w:p>
    <w:p w14:paraId="6F5E26F8">
      <w:pPr>
        <w:spacing w:before="251" w:line="224" w:lineRule="auto"/>
        <w:ind w:firstLine="882" w:firstLineChars="3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1.发挥市场在资源配置中的决定性作用，进一步精简行政审批，减少环节、简化程序、提高效率，大幅降低制度性交易成本。</w:t>
      </w:r>
    </w:p>
    <w:p w14:paraId="0D0480EA">
      <w:pPr>
        <w:spacing w:before="251" w:line="224" w:lineRule="auto"/>
        <w:ind w:firstLine="882" w:firstLineChars="3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 xml:space="preserve"> 2.改革完善储备体系和运营方式，完善地方储备，进一步发挥政府储备引导作用，鼓励企业商业储备，推动形成中央储备与地方储备、政府储备与企业储备互为补充的协同发展格局。</w:t>
      </w:r>
    </w:p>
    <w:p w14:paraId="714C7932">
      <w:pPr>
        <w:spacing w:before="251" w:line="224" w:lineRule="auto"/>
        <w:ind w:firstLine="882" w:firstLineChars="3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3.加强市场分析预测和监测预警，充分运用大数据等科技手段，强化动态监控，提高储备防风险能力，增强储备在保障国家安全、稳定社会预期、引导市场方面的作用。</w:t>
      </w:r>
    </w:p>
    <w:p w14:paraId="61F29E48">
      <w:pPr>
        <w:spacing w:before="251" w:line="224" w:lineRule="auto"/>
        <w:ind w:firstLine="882" w:firstLineChars="300"/>
        <w:rPr>
          <w:rFonts w:hint="eastAsia"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4.加强监督管理，创新监管方式，全面推进“双随机、一公开”和“互联网+监管”，着力加强安全生产，根据国家、省、市储备总体发展规划和品种目录及动用指令，监督储备主体做好收储、轮换，确保我市储备物资收得进、储得好、调得动、用得上。</w:t>
      </w:r>
    </w:p>
    <w:p w14:paraId="5465810D">
      <w:pPr>
        <w:spacing w:before="251" w:line="224" w:lineRule="auto"/>
        <w:ind w:left="672" w:firstLine="6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 w14:paraId="574927B0">
      <w:pPr>
        <w:spacing w:before="247" w:line="222" w:lineRule="auto"/>
        <w:ind w:right="9"/>
        <w:jc w:val="righ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6"/>
          <w:sz w:val="31"/>
          <w:szCs w:val="31"/>
        </w:rPr>
        <w:t>根据上述职责，</w:t>
      </w:r>
      <w:bookmarkStart w:id="0" w:name="OLE_LINK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德惠市粮食和物资储备局</w:t>
      </w:r>
      <w:bookmarkEnd w:id="0"/>
      <w:r>
        <w:rPr>
          <w:rFonts w:hint="eastAsia" w:ascii="仿宋" w:hAnsi="仿宋" w:eastAsia="仿宋" w:cs="仿宋"/>
          <w:spacing w:val="6"/>
          <w:sz w:val="31"/>
          <w:szCs w:val="31"/>
        </w:rPr>
        <w:t>内设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六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个机构</w:t>
      </w:r>
    </w:p>
    <w:p w14:paraId="51F41FEE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1"/>
          <w:szCs w:val="31"/>
        </w:rPr>
        <w:t>分别为</w:t>
      </w:r>
      <w:r>
        <w:rPr>
          <w:rFonts w:hint="eastAsia"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办公室、调控科、仓储科、行业管理科、监督监察科、盐政科。</w:t>
      </w:r>
    </w:p>
    <w:p w14:paraId="45C0712D">
      <w:pPr>
        <w:numPr>
          <w:ilvl w:val="0"/>
          <w:numId w:val="0"/>
        </w:numPr>
        <w:ind w:firstLine="652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纳入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德惠市粮食和物资储备局</w:t>
      </w:r>
      <w:r>
        <w:rPr>
          <w:rFonts w:hint="eastAsia" w:ascii="仿宋" w:hAnsi="仿宋" w:eastAsia="仿宋" w:cs="仿宋"/>
          <w:spacing w:val="8"/>
          <w:sz w:val="31"/>
          <w:szCs w:val="31"/>
        </w:rPr>
        <w:t>2023年度部门决算编制范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围的单位包括：</w:t>
      </w:r>
    </w:p>
    <w:p w14:paraId="4736C6E5">
      <w:pPr>
        <w:spacing w:before="53" w:line="222" w:lineRule="auto"/>
        <w:ind w:left="691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</w:rPr>
        <w:t>1.</w:t>
      </w:r>
      <w:bookmarkStart w:id="1" w:name="OLE_LINK2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德惠市粮食和物资储备局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本级 </w:t>
      </w:r>
      <w:bookmarkEnd w:id="1"/>
    </w:p>
    <w:p w14:paraId="69BDD6AE">
      <w:pPr>
        <w:pStyle w:val="5"/>
        <w:spacing w:line="328" w:lineRule="auto"/>
        <w:ind w:firstLine="5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1"/>
          <w:szCs w:val="31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德惠市粮油品质卫生检验监测站</w:t>
      </w:r>
    </w:p>
    <w:p w14:paraId="21964BE2">
      <w:pPr>
        <w:pStyle w:val="5"/>
        <w:spacing w:line="328" w:lineRule="auto"/>
      </w:pPr>
    </w:p>
    <w:p w14:paraId="5087030A"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 w14:paraId="3E60C7A1">
      <w:pPr>
        <w:pStyle w:val="5"/>
        <w:spacing w:line="268" w:lineRule="auto"/>
      </w:pPr>
    </w:p>
    <w:p w14:paraId="713F1BF3">
      <w:pPr>
        <w:pStyle w:val="5"/>
        <w:spacing w:line="268" w:lineRule="auto"/>
      </w:pPr>
    </w:p>
    <w:p w14:paraId="33EAFEB3">
      <w:pPr>
        <w:pStyle w:val="5"/>
        <w:spacing w:line="268" w:lineRule="auto"/>
      </w:pPr>
    </w:p>
    <w:p w14:paraId="105746A9">
      <w:pPr>
        <w:spacing w:before="10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一、收入支出决算总表</w:t>
      </w:r>
      <w:r>
        <w:drawing>
          <wp:inline distT="0" distB="0" distL="114300" distR="114300">
            <wp:extent cx="5285105" cy="2781935"/>
            <wp:effectExtent l="0" t="0" r="1079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EE116">
      <w:pPr>
        <w:spacing w:before="101" w:line="5918" w:lineRule="exact"/>
        <w:ind w:firstLine="194"/>
      </w:pPr>
    </w:p>
    <w:p w14:paraId="66EC8C91">
      <w:pPr>
        <w:pStyle w:val="5"/>
        <w:spacing w:line="337" w:lineRule="auto"/>
      </w:pPr>
    </w:p>
    <w:p w14:paraId="3E59DF3C">
      <w:pPr>
        <w:pStyle w:val="5"/>
        <w:spacing w:line="338" w:lineRule="auto"/>
      </w:pPr>
    </w:p>
    <w:p w14:paraId="33E1E100">
      <w:pPr>
        <w:spacing w:before="101" w:line="224" w:lineRule="auto"/>
        <w:ind w:left="675"/>
        <w:rPr>
          <w:rFonts w:ascii="仿宋" w:hAnsi="仿宋" w:eastAsia="仿宋" w:cs="仿宋"/>
          <w:sz w:val="31"/>
          <w:szCs w:val="31"/>
        </w:rPr>
      </w:pPr>
    </w:p>
    <w:p w14:paraId="1F906EB0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785" w:bottom="1150" w:left="1785" w:header="0" w:footer="965" w:gutter="0"/>
          <w:pgNumType w:fmt="decimal"/>
          <w:cols w:space="720" w:num="1"/>
        </w:sectPr>
      </w:pPr>
    </w:p>
    <w:p w14:paraId="544008F8">
      <w:pPr>
        <w:pStyle w:val="5"/>
        <w:spacing w:line="339" w:lineRule="auto"/>
      </w:pPr>
    </w:p>
    <w:p w14:paraId="1F3E44D7">
      <w:pPr>
        <w:pStyle w:val="5"/>
        <w:spacing w:line="340" w:lineRule="auto"/>
      </w:pPr>
    </w:p>
    <w:p w14:paraId="343BEAF2">
      <w:pPr>
        <w:numPr>
          <w:ilvl w:val="0"/>
          <w:numId w:val="1"/>
        </w:numPr>
        <w:spacing w:before="101" w:line="224" w:lineRule="auto"/>
        <w:ind w:left="672"/>
      </w:pPr>
      <w:r>
        <w:rPr>
          <w:rFonts w:ascii="黑体" w:hAnsi="黑体" w:eastAsia="黑体" w:cs="黑体"/>
          <w:spacing w:val="7"/>
          <w:sz w:val="31"/>
          <w:szCs w:val="31"/>
        </w:rPr>
        <w:t>收入决算表</w:t>
      </w:r>
      <w:r>
        <w:drawing>
          <wp:inline distT="0" distB="0" distL="114300" distR="114300">
            <wp:extent cx="5289550" cy="7207250"/>
            <wp:effectExtent l="0" t="0" r="635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72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A721">
      <w:pPr>
        <w:numPr>
          <w:ilvl w:val="0"/>
          <w:numId w:val="0"/>
        </w:num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 w14:paraId="4D8FECD7">
      <w:pPr>
        <w:numPr>
          <w:ilvl w:val="0"/>
          <w:numId w:val="0"/>
        </w:num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 w14:paraId="5C0DF60A">
      <w:pPr>
        <w:numPr>
          <w:ilvl w:val="0"/>
          <w:numId w:val="0"/>
        </w:num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 w14:paraId="2989F87B">
      <w:pPr>
        <w:numPr>
          <w:ilvl w:val="0"/>
          <w:numId w:val="0"/>
        </w:numPr>
        <w:spacing w:before="101" w:line="224" w:lineRule="auto"/>
        <w:ind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  <w:r>
        <w:drawing>
          <wp:inline distT="0" distB="0" distL="114300" distR="114300">
            <wp:extent cx="5293360" cy="7814945"/>
            <wp:effectExtent l="0" t="0" r="254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78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560D5"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 w14:paraId="02C4A678"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 w14:paraId="225E11B7"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 w14:paraId="1D6F9BBD">
      <w:pPr>
        <w:spacing w:before="101" w:line="224" w:lineRule="auto"/>
        <w:ind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  <w:r>
        <w:drawing>
          <wp:inline distT="0" distB="0" distL="114300" distR="114300">
            <wp:extent cx="5290185" cy="231521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0A09B">
      <w:pPr>
        <w:pStyle w:val="5"/>
        <w:spacing w:line="245" w:lineRule="auto"/>
      </w:pPr>
    </w:p>
    <w:p w14:paraId="5DA34433">
      <w:pPr>
        <w:spacing w:line="4378" w:lineRule="exact"/>
        <w:ind w:firstLine="14"/>
      </w:pPr>
    </w:p>
    <w:p w14:paraId="572C2A10">
      <w:pPr>
        <w:pStyle w:val="5"/>
        <w:spacing w:line="273" w:lineRule="auto"/>
      </w:pPr>
    </w:p>
    <w:p w14:paraId="3812ACA8">
      <w:pPr>
        <w:pStyle w:val="5"/>
        <w:spacing w:line="273" w:lineRule="auto"/>
      </w:pPr>
    </w:p>
    <w:p w14:paraId="5AF190D0">
      <w:pPr>
        <w:pStyle w:val="5"/>
        <w:spacing w:line="274" w:lineRule="auto"/>
      </w:pPr>
    </w:p>
    <w:p w14:paraId="734A6C8F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641AF926">
      <w:pPr>
        <w:pStyle w:val="5"/>
        <w:spacing w:line="339" w:lineRule="auto"/>
      </w:pPr>
    </w:p>
    <w:p w14:paraId="56F25956">
      <w:pPr>
        <w:pStyle w:val="5"/>
        <w:spacing w:line="339" w:lineRule="auto"/>
      </w:pPr>
    </w:p>
    <w:p w14:paraId="43B57ACE">
      <w:pPr>
        <w:spacing w:before="10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  <w:r>
        <w:drawing>
          <wp:inline distT="0" distB="0" distL="114300" distR="114300">
            <wp:extent cx="5284470" cy="4053840"/>
            <wp:effectExtent l="0" t="0" r="1143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1C0E4">
      <w:pPr>
        <w:spacing w:before="229" w:line="4102" w:lineRule="exact"/>
        <w:ind w:firstLine="14"/>
      </w:pPr>
    </w:p>
    <w:p w14:paraId="4BF4856F">
      <w:pPr>
        <w:pStyle w:val="5"/>
        <w:spacing w:line="268" w:lineRule="auto"/>
      </w:pPr>
    </w:p>
    <w:p w14:paraId="2CD1823E">
      <w:pPr>
        <w:pStyle w:val="5"/>
        <w:spacing w:line="268" w:lineRule="auto"/>
      </w:pPr>
    </w:p>
    <w:p w14:paraId="06C11BAF">
      <w:pPr>
        <w:pStyle w:val="5"/>
        <w:spacing w:line="268" w:lineRule="auto"/>
      </w:pPr>
    </w:p>
    <w:p w14:paraId="71A75B4A">
      <w:pPr>
        <w:spacing w:before="101" w:line="361" w:lineRule="auto"/>
        <w:ind w:left="43" w:right="15" w:firstLine="632"/>
        <w:jc w:val="both"/>
        <w:rPr>
          <w:rFonts w:ascii="仿宋" w:hAnsi="仿宋" w:eastAsia="仿宋" w:cs="仿宋"/>
          <w:sz w:val="31"/>
          <w:szCs w:val="31"/>
        </w:rPr>
      </w:pPr>
    </w:p>
    <w:p w14:paraId="682E0757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61A36F56">
      <w:pPr>
        <w:pStyle w:val="5"/>
        <w:spacing w:line="339" w:lineRule="auto"/>
      </w:pPr>
    </w:p>
    <w:p w14:paraId="6F3BCDE8">
      <w:pPr>
        <w:pStyle w:val="5"/>
        <w:spacing w:line="339" w:lineRule="auto"/>
      </w:pPr>
    </w:p>
    <w:p w14:paraId="3708B961">
      <w:pPr>
        <w:spacing w:before="100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六、一般公共预算财政拨款基本支出决算明细表</w:t>
      </w:r>
      <w:r>
        <w:drawing>
          <wp:inline distT="0" distB="0" distL="114300" distR="114300">
            <wp:extent cx="5288280" cy="3121660"/>
            <wp:effectExtent l="0" t="0" r="762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F5E7">
      <w:pPr>
        <w:spacing w:before="234" w:line="5964" w:lineRule="exact"/>
        <w:ind w:firstLine="237"/>
      </w:pPr>
    </w:p>
    <w:p w14:paraId="0F5AC60E">
      <w:pPr>
        <w:pStyle w:val="5"/>
        <w:spacing w:line="270" w:lineRule="auto"/>
      </w:pPr>
    </w:p>
    <w:p w14:paraId="34BEF95E">
      <w:pPr>
        <w:pStyle w:val="5"/>
        <w:spacing w:line="270" w:lineRule="auto"/>
      </w:pPr>
    </w:p>
    <w:p w14:paraId="732F5620">
      <w:pPr>
        <w:pStyle w:val="5"/>
        <w:spacing w:line="270" w:lineRule="auto"/>
      </w:pPr>
    </w:p>
    <w:p w14:paraId="355A84DF">
      <w:pPr>
        <w:pStyle w:val="5"/>
        <w:spacing w:line="339" w:lineRule="auto"/>
      </w:pPr>
    </w:p>
    <w:p w14:paraId="00574DC6">
      <w:pPr>
        <w:pStyle w:val="5"/>
        <w:spacing w:line="340" w:lineRule="auto"/>
      </w:pPr>
    </w:p>
    <w:p w14:paraId="767D4A61">
      <w:pPr>
        <w:spacing w:before="101" w:line="224" w:lineRule="auto"/>
        <w:ind w:left="666"/>
        <w:rPr>
          <w:rFonts w:ascii="黑体" w:hAnsi="黑体" w:eastAsia="黑体" w:cs="黑体"/>
          <w:spacing w:val="8"/>
          <w:sz w:val="31"/>
          <w:szCs w:val="31"/>
        </w:rPr>
      </w:pPr>
    </w:p>
    <w:p w14:paraId="67DA78E3">
      <w:pPr>
        <w:spacing w:before="10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七、政府性基金预算财政拨款收入支出决算表</w:t>
      </w:r>
      <w:r>
        <w:drawing>
          <wp:inline distT="0" distB="0" distL="114300" distR="114300">
            <wp:extent cx="5290820" cy="2614930"/>
            <wp:effectExtent l="0" t="0" r="508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691F7">
      <w:pPr>
        <w:spacing w:before="235" w:line="4714" w:lineRule="exact"/>
        <w:ind w:firstLine="240"/>
      </w:pPr>
    </w:p>
    <w:p w14:paraId="239692C9">
      <w:pPr>
        <w:pStyle w:val="5"/>
        <w:spacing w:line="270" w:lineRule="auto"/>
      </w:pPr>
    </w:p>
    <w:p w14:paraId="0FC2482E">
      <w:pPr>
        <w:pStyle w:val="5"/>
        <w:spacing w:line="270" w:lineRule="auto"/>
      </w:pPr>
    </w:p>
    <w:p w14:paraId="16406267">
      <w:pPr>
        <w:pStyle w:val="5"/>
        <w:spacing w:line="271" w:lineRule="auto"/>
      </w:pPr>
    </w:p>
    <w:p w14:paraId="4387CC46">
      <w:pPr>
        <w:spacing w:before="101" w:line="364" w:lineRule="auto"/>
        <w:ind w:left="33" w:right="14" w:firstLine="641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本单位没有政府性基金预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算财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政拨款。</w:t>
      </w:r>
    </w:p>
    <w:p w14:paraId="5C77DDE6">
      <w:pPr>
        <w:spacing w:line="364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sectPr>
          <w:footerReference r:id="rId12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3CED05DE">
      <w:pPr>
        <w:pStyle w:val="5"/>
        <w:spacing w:line="339" w:lineRule="auto"/>
      </w:pPr>
    </w:p>
    <w:p w14:paraId="217AD73A">
      <w:pPr>
        <w:pStyle w:val="5"/>
        <w:spacing w:line="340" w:lineRule="auto"/>
      </w:pPr>
    </w:p>
    <w:p w14:paraId="4A6EFF4F"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  <w:r>
        <w:drawing>
          <wp:inline distT="0" distB="0" distL="114300" distR="114300">
            <wp:extent cx="5289550" cy="2959100"/>
            <wp:effectExtent l="0" t="0" r="635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6128">
      <w:pPr>
        <w:spacing w:before="182" w:line="4817" w:lineRule="exact"/>
        <w:ind w:firstLine="28"/>
      </w:pPr>
    </w:p>
    <w:p w14:paraId="0DC7EE52">
      <w:pPr>
        <w:pStyle w:val="5"/>
        <w:spacing w:line="253" w:lineRule="auto"/>
      </w:pPr>
    </w:p>
    <w:p w14:paraId="5E9CDFEA">
      <w:pPr>
        <w:pStyle w:val="5"/>
        <w:spacing w:line="253" w:lineRule="auto"/>
      </w:pPr>
    </w:p>
    <w:p w14:paraId="4EFC6C51">
      <w:pPr>
        <w:pStyle w:val="5"/>
        <w:spacing w:line="253" w:lineRule="auto"/>
      </w:pPr>
    </w:p>
    <w:p w14:paraId="7F52C9E8">
      <w:pPr>
        <w:spacing w:before="101" w:line="364" w:lineRule="auto"/>
        <w:ind w:left="24" w:right="1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本单位没有国有资本经营预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算财政拨款。</w:t>
      </w:r>
    </w:p>
    <w:p w14:paraId="4A3483C3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286115E7">
      <w:pPr>
        <w:pStyle w:val="5"/>
        <w:spacing w:line="339" w:lineRule="auto"/>
      </w:pPr>
    </w:p>
    <w:p w14:paraId="367DD629">
      <w:pPr>
        <w:pStyle w:val="5"/>
        <w:spacing w:line="340" w:lineRule="auto"/>
      </w:pPr>
    </w:p>
    <w:p w14:paraId="6E5A2781"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九、财政拨款“三公”经费支出决算表</w:t>
      </w:r>
      <w:r>
        <w:drawing>
          <wp:inline distT="0" distB="0" distL="114300" distR="114300">
            <wp:extent cx="5292090" cy="1881505"/>
            <wp:effectExtent l="0" t="0" r="381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3AAC">
      <w:pPr>
        <w:spacing w:before="96" w:line="5302" w:lineRule="exact"/>
        <w:ind w:firstLine="237"/>
      </w:pPr>
    </w:p>
    <w:p w14:paraId="12C085E3">
      <w:pPr>
        <w:spacing w:before="154" w:line="362" w:lineRule="auto"/>
        <w:ind w:left="32" w:right="12" w:firstLine="643"/>
        <w:jc w:val="both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本单位没有财政拨款</w:t>
      </w:r>
      <w:r>
        <w:rPr>
          <w:rFonts w:ascii="仿宋" w:hAnsi="仿宋" w:eastAsia="仿宋" w:cs="仿宋"/>
          <w:color w:val="000000" w:themeColor="text1"/>
          <w:spacing w:val="-93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 w:cs="仿宋"/>
          <w:color w:val="000000" w:themeColor="text1"/>
          <w:spacing w:val="-119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三公”经费</w:t>
      </w:r>
      <w:r>
        <w:rPr>
          <w:rFonts w:ascii="仿宋" w:hAnsi="仿宋" w:eastAsia="仿宋" w:cs="仿宋"/>
          <w:color w:val="000000" w:themeColor="text1"/>
          <w:spacing w:val="44"/>
          <w:sz w:val="31"/>
          <w:szCs w:val="31"/>
          <w14:textFill>
            <w14:solidFill>
              <w14:schemeClr w14:val="tx1"/>
            </w14:solidFill>
          </w14:textFill>
        </w:rPr>
        <w:t>支出。</w:t>
      </w:r>
    </w:p>
    <w:p w14:paraId="0FC88E98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51242994">
      <w:pPr>
        <w:pStyle w:val="5"/>
        <w:spacing w:line="339" w:lineRule="auto"/>
      </w:pPr>
    </w:p>
    <w:p w14:paraId="4D68175F">
      <w:pPr>
        <w:pStyle w:val="5"/>
        <w:spacing w:line="339" w:lineRule="auto"/>
      </w:pPr>
    </w:p>
    <w:p w14:paraId="34BDD956">
      <w:pPr>
        <w:numPr>
          <w:ilvl w:val="0"/>
          <w:numId w:val="0"/>
        </w:numPr>
        <w:spacing w:before="100" w:line="224" w:lineRule="auto"/>
        <w:ind w:firstLine="978" w:firstLineChars="30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十、</w:t>
      </w:r>
      <w:r>
        <w:rPr>
          <w:rFonts w:ascii="黑体" w:hAnsi="黑体" w:eastAsia="黑体" w:cs="黑体"/>
          <w:spacing w:val="8"/>
          <w:sz w:val="31"/>
          <w:szCs w:val="31"/>
        </w:rPr>
        <w:t>部门预算项目支出绩效自评表</w:t>
      </w:r>
    </w:p>
    <w:p w14:paraId="38491C48">
      <w:pPr>
        <w:pStyle w:val="2"/>
        <w:ind w:left="0" w:leftChars="0" w:firstLine="0" w:firstLineChars="0"/>
      </w:pPr>
    </w:p>
    <w:p w14:paraId="74B0A43C">
      <w:pPr>
        <w:pStyle w:val="5"/>
        <w:spacing w:line="261" w:lineRule="auto"/>
      </w:pPr>
      <w:r>
        <w:drawing>
          <wp:inline distT="0" distB="0" distL="114300" distR="114300">
            <wp:extent cx="5291455" cy="4302760"/>
            <wp:effectExtent l="0" t="0" r="444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43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587B">
      <w:pPr>
        <w:pStyle w:val="5"/>
        <w:spacing w:line="261" w:lineRule="auto"/>
      </w:pPr>
    </w:p>
    <w:p w14:paraId="71AC0B59">
      <w:pPr>
        <w:pStyle w:val="5"/>
        <w:spacing w:line="261" w:lineRule="auto"/>
      </w:pPr>
    </w:p>
    <w:p w14:paraId="47B1FB6D">
      <w:pPr>
        <w:spacing w:line="9847" w:lineRule="exact"/>
        <w:ind w:firstLine="297"/>
      </w:pPr>
      <w:r>
        <w:drawing>
          <wp:inline distT="0" distB="0" distL="114300" distR="114300">
            <wp:extent cx="5291455" cy="4302760"/>
            <wp:effectExtent l="0" t="0" r="444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43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1455" cy="4296410"/>
            <wp:effectExtent l="0" t="0" r="4445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1455" cy="4296410"/>
            <wp:effectExtent l="0" t="0" r="444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ABCD">
      <w:pPr>
        <w:spacing w:line="9847" w:lineRule="exact"/>
        <w:sectPr>
          <w:footerReference r:id="rId15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6CBEC05D">
      <w:pPr>
        <w:spacing w:before="225" w:line="443" w:lineRule="exact"/>
        <w:ind w:left="48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第三部分</w:t>
      </w:r>
      <w:r>
        <w:rPr>
          <w:rFonts w:ascii="微软雅黑" w:hAnsi="微软雅黑" w:eastAsia="微软雅黑" w:cs="微软雅黑"/>
          <w:spacing w:val="103"/>
          <w:position w:val="-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2023年度部门决算情况说明</w:t>
      </w:r>
    </w:p>
    <w:p w14:paraId="170B6C6C">
      <w:pPr>
        <w:pStyle w:val="5"/>
        <w:spacing w:line="314" w:lineRule="auto"/>
      </w:pPr>
    </w:p>
    <w:p w14:paraId="38840655">
      <w:pPr>
        <w:pStyle w:val="5"/>
        <w:spacing w:line="314" w:lineRule="auto"/>
      </w:pPr>
    </w:p>
    <w:p w14:paraId="0841B76A">
      <w:pPr>
        <w:pStyle w:val="5"/>
        <w:spacing w:line="315" w:lineRule="auto"/>
      </w:pPr>
    </w:p>
    <w:p w14:paraId="5F947897"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 w14:paraId="1E563E22">
      <w:pPr>
        <w:spacing w:before="248" w:line="362" w:lineRule="auto"/>
        <w:ind w:left="36" w:right="113" w:firstLine="634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bookmarkStart w:id="2" w:name="OLE_LINK3"/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仿宋" w:hAnsi="仿宋" w:eastAsia="仿宋" w:cs="仿宋"/>
          <w:spacing w:val="4"/>
          <w:sz w:val="31"/>
          <w:szCs w:val="31"/>
        </w:rPr>
        <w:t>年度收、支</w:t>
      </w:r>
      <w:bookmarkEnd w:id="2"/>
      <w:r>
        <w:rPr>
          <w:rFonts w:ascii="仿宋" w:hAnsi="仿宋" w:eastAsia="仿宋" w:cs="仿宋"/>
          <w:spacing w:val="4"/>
          <w:sz w:val="31"/>
          <w:szCs w:val="31"/>
        </w:rPr>
        <w:t>总计均为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965.84、960.56</w:t>
      </w:r>
      <w:r>
        <w:rPr>
          <w:rFonts w:ascii="仿宋" w:hAnsi="仿宋" w:eastAsia="仿宋" w:cs="仿宋"/>
          <w:spacing w:val="4"/>
          <w:sz w:val="31"/>
          <w:szCs w:val="31"/>
        </w:rPr>
        <w:t>万元。与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4"/>
          <w:sz w:val="31"/>
          <w:szCs w:val="31"/>
        </w:rPr>
        <w:t>年度相比，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收、支总计各减少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336.83、343.47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36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。主</w:t>
      </w:r>
      <w:r>
        <w:rPr>
          <w:rFonts w:ascii="仿宋" w:hAnsi="仿宋" w:eastAsia="仿宋" w:cs="仿宋"/>
          <w:spacing w:val="-10"/>
          <w:sz w:val="31"/>
          <w:szCs w:val="31"/>
        </w:rPr>
        <w:t>要原因：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2023年度压缩收支，项目减少。</w:t>
      </w:r>
    </w:p>
    <w:p w14:paraId="6742D610">
      <w:pPr>
        <w:pStyle w:val="5"/>
        <w:spacing w:line="260" w:lineRule="auto"/>
      </w:pPr>
    </w:p>
    <w:p w14:paraId="4E6465C9">
      <w:pPr>
        <w:spacing w:before="5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 w14:paraId="07554E58">
      <w:pPr>
        <w:spacing w:before="253" w:line="368" w:lineRule="auto"/>
        <w:ind w:left="2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本年收入合计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965.84</w:t>
      </w:r>
      <w:r>
        <w:rPr>
          <w:rFonts w:ascii="仿宋" w:hAnsi="仿宋" w:eastAsia="仿宋" w:cs="仿宋"/>
          <w:spacing w:val="4"/>
          <w:sz w:val="31"/>
          <w:szCs w:val="31"/>
        </w:rPr>
        <w:t>万元，其中：</w:t>
      </w:r>
      <w:bookmarkStart w:id="3" w:name="OLE_LINK4"/>
      <w:r>
        <w:rPr>
          <w:rFonts w:ascii="仿宋" w:hAnsi="仿宋" w:eastAsia="仿宋" w:cs="仿宋"/>
          <w:spacing w:val="4"/>
          <w:sz w:val="31"/>
          <w:szCs w:val="31"/>
        </w:rPr>
        <w:t>财政拨款收入</w:t>
      </w:r>
      <w:bookmarkEnd w:id="3"/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933.96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6"/>
          <w:sz w:val="31"/>
          <w:szCs w:val="31"/>
        </w:rPr>
        <w:t>上年减少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365.3</w:t>
      </w:r>
      <w:r>
        <w:rPr>
          <w:rFonts w:ascii="仿宋" w:hAnsi="仿宋" w:eastAsia="仿宋" w:cs="仿宋"/>
          <w:spacing w:val="6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28.11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，主要是</w:t>
      </w:r>
      <w:r>
        <w:rPr>
          <w:rFonts w:ascii="仿宋" w:hAnsi="仿宋" w:eastAsia="仿宋" w:cs="仿宋"/>
          <w:spacing w:val="4"/>
          <w:sz w:val="31"/>
          <w:szCs w:val="31"/>
        </w:rPr>
        <w:t>财政拨款收入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减少</w:t>
      </w:r>
      <w:r>
        <w:rPr>
          <w:rFonts w:ascii="仿宋" w:hAnsi="仿宋" w:eastAsia="仿宋" w:cs="仿宋"/>
          <w:spacing w:val="6"/>
          <w:sz w:val="31"/>
          <w:szCs w:val="31"/>
        </w:rPr>
        <w:t>；上</w:t>
      </w:r>
      <w:r>
        <w:rPr>
          <w:rFonts w:ascii="仿宋" w:hAnsi="仿宋" w:eastAsia="仿宋" w:cs="仿宋"/>
          <w:spacing w:val="-15"/>
          <w:sz w:val="31"/>
          <w:szCs w:val="31"/>
        </w:rPr>
        <w:t>级补助收入</w:t>
      </w:r>
      <w:r>
        <w:rPr>
          <w:rFonts w:hint="eastAsia" w:ascii="仿宋" w:hAnsi="仿宋" w:eastAsia="仿宋" w:cs="仿宋"/>
          <w:spacing w:val="4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；事业收入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比上年增加（减</w:t>
      </w:r>
      <w:r>
        <w:rPr>
          <w:rFonts w:ascii="仿宋" w:hAnsi="仿宋" w:eastAsia="仿宋" w:cs="仿宋"/>
          <w:spacing w:val="3"/>
          <w:sz w:val="31"/>
          <w:szCs w:val="31"/>
        </w:rPr>
        <w:t>少）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；经营收入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3"/>
          <w:sz w:val="31"/>
          <w:szCs w:val="31"/>
        </w:rPr>
        <w:t>上年增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加（减少）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万元，增长（下降）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；附属单位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上缴收入 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9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9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37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9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；</w:t>
      </w:r>
      <w:bookmarkStart w:id="4" w:name="OLE_LINK5"/>
      <w:r>
        <w:rPr>
          <w:rFonts w:ascii="仿宋" w:hAnsi="仿宋" w:eastAsia="仿宋" w:cs="仿宋"/>
          <w:spacing w:val="4"/>
          <w:sz w:val="31"/>
          <w:szCs w:val="31"/>
        </w:rPr>
        <w:t>其他收入</w:t>
      </w:r>
      <w:bookmarkEnd w:id="4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31.88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比上年增加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28.47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增长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834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，主要是其他收入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增加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5DB97B0E">
      <w:pPr>
        <w:spacing w:before="158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 w14:paraId="5F0EA98D">
      <w:pPr>
        <w:spacing w:before="251" w:line="368" w:lineRule="auto"/>
        <w:ind w:left="2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本年支出合计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960.96</w:t>
      </w:r>
      <w:r>
        <w:rPr>
          <w:rFonts w:ascii="仿宋" w:hAnsi="仿宋" w:eastAsia="仿宋" w:cs="仿宋"/>
          <w:spacing w:val="4"/>
          <w:sz w:val="31"/>
          <w:szCs w:val="31"/>
        </w:rPr>
        <w:t>万元，其中：</w:t>
      </w:r>
      <w:bookmarkStart w:id="5" w:name="OLE_LINK6"/>
      <w:r>
        <w:rPr>
          <w:rFonts w:ascii="仿宋" w:hAnsi="仿宋" w:eastAsia="仿宋" w:cs="仿宋"/>
          <w:spacing w:val="4"/>
          <w:sz w:val="31"/>
          <w:szCs w:val="31"/>
        </w:rPr>
        <w:t>基本支出</w:t>
      </w:r>
      <w:bookmarkEnd w:id="5"/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513.31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</w:t>
      </w:r>
      <w:r>
        <w:rPr>
          <w:rFonts w:ascii="仿宋" w:hAnsi="仿宋" w:eastAsia="仿宋" w:cs="仿宋"/>
          <w:spacing w:val="7"/>
          <w:sz w:val="31"/>
          <w:szCs w:val="31"/>
        </w:rPr>
        <w:t>增加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73.09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16.60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，主要是</w:t>
      </w:r>
      <w:r>
        <w:rPr>
          <w:rFonts w:ascii="仿宋" w:hAnsi="仿宋" w:eastAsia="仿宋" w:cs="仿宋"/>
          <w:spacing w:val="4"/>
          <w:sz w:val="31"/>
          <w:szCs w:val="31"/>
        </w:rPr>
        <w:t>基本支出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增加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bookmarkStart w:id="6" w:name="OLE_LINK7"/>
      <w:r>
        <w:rPr>
          <w:rFonts w:ascii="仿宋" w:hAnsi="仿宋" w:eastAsia="仿宋" w:cs="仿宋"/>
          <w:spacing w:val="6"/>
          <w:sz w:val="31"/>
          <w:szCs w:val="31"/>
        </w:rPr>
        <w:t>项目支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bookmarkEnd w:id="6"/>
      <w:r>
        <w:rPr>
          <w:rFonts w:hint="eastAsia" w:ascii="仿宋" w:hAnsi="仿宋" w:eastAsia="仿宋" w:cs="仿宋"/>
          <w:spacing w:val="47"/>
          <w:sz w:val="31"/>
          <w:szCs w:val="31"/>
          <w:lang w:val="en-US" w:eastAsia="zh-CN"/>
        </w:rPr>
        <w:t>447.25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比上年减少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416.56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下降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48.22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</w:t>
      </w:r>
      <w:r>
        <w:rPr>
          <w:rFonts w:ascii="仿宋" w:hAnsi="仿宋" w:eastAsia="仿宋" w:cs="仿宋"/>
          <w:spacing w:val="-2"/>
          <w:sz w:val="31"/>
          <w:szCs w:val="31"/>
        </w:rPr>
        <w:t>要是</w:t>
      </w:r>
      <w:r>
        <w:rPr>
          <w:rFonts w:ascii="仿宋" w:hAnsi="仿宋" w:eastAsia="仿宋" w:cs="仿宋"/>
          <w:spacing w:val="6"/>
          <w:sz w:val="31"/>
          <w:szCs w:val="31"/>
        </w:rPr>
        <w:t>项目支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减少</w:t>
      </w:r>
      <w:r>
        <w:rPr>
          <w:rFonts w:ascii="仿宋" w:hAnsi="仿宋" w:eastAsia="仿宋" w:cs="仿宋"/>
          <w:spacing w:val="-2"/>
          <w:sz w:val="31"/>
          <w:szCs w:val="31"/>
        </w:rPr>
        <w:t>；上缴上级支出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增长（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52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；经营支出</w:t>
      </w:r>
      <w:r>
        <w:rPr>
          <w:rFonts w:hint="eastAsia" w:ascii="仿宋" w:hAnsi="仿宋" w:eastAsia="仿宋" w:cs="仿宋"/>
          <w:spacing w:val="4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比上年增</w:t>
      </w:r>
      <w:r>
        <w:rPr>
          <w:rFonts w:ascii="仿宋" w:hAnsi="仿宋" w:eastAsia="仿宋" w:cs="仿宋"/>
          <w:spacing w:val="7"/>
          <w:sz w:val="31"/>
          <w:szCs w:val="31"/>
        </w:rPr>
        <w:t>加（减少）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；对附属单</w:t>
      </w:r>
      <w:r>
        <w:rPr>
          <w:rFonts w:ascii="仿宋" w:hAnsi="仿宋" w:eastAsia="仿宋" w:cs="仿宋"/>
          <w:spacing w:val="-15"/>
          <w:sz w:val="31"/>
          <w:szCs w:val="31"/>
        </w:rPr>
        <w:t>位补助支出</w:t>
      </w:r>
      <w:r>
        <w:rPr>
          <w:rFonts w:hint="eastAsia" w:ascii="仿宋" w:hAnsi="仿宋" w:eastAsia="仿宋" w:cs="仿宋"/>
          <w:spacing w:val="4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%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 w14:paraId="3C9E1E73">
      <w:pPr>
        <w:pStyle w:val="5"/>
        <w:spacing w:line="285" w:lineRule="auto"/>
      </w:pPr>
    </w:p>
    <w:p w14:paraId="07E7BD68">
      <w:pPr>
        <w:pStyle w:val="5"/>
        <w:spacing w:line="285" w:lineRule="auto"/>
      </w:pPr>
    </w:p>
    <w:p w14:paraId="53D22F35"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 w14:paraId="502ABA7A">
      <w:pPr>
        <w:bidi w:val="0"/>
        <w:ind w:firstLine="644" w:firstLineChars="200"/>
        <w:rPr>
          <w:rFonts w:hint="eastAsia" w:ascii="仿宋" w:hAnsi="仿宋" w:eastAsia="仿宋" w:cs="仿宋"/>
          <w:sz w:val="31"/>
          <w:szCs w:val="3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shd w:val="clear" w:color="auto" w:fill="auto"/>
        </w:rPr>
        <w:t>2023</w:t>
      </w:r>
      <w:r>
        <w:rPr>
          <w:rFonts w:hint="eastAsia" w:ascii="仿宋" w:hAnsi="仿宋" w:eastAsia="仿宋" w:cs="仿宋"/>
          <w:spacing w:val="-37"/>
          <w:sz w:val="31"/>
          <w:szCs w:val="31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pacing w:val="6"/>
          <w:sz w:val="31"/>
          <w:szCs w:val="31"/>
          <w:shd w:val="clear" w:color="auto" w:fill="auto"/>
        </w:rPr>
        <w:t>年度财政拨款收、支总计均为</w:t>
      </w:r>
      <w:r>
        <w:rPr>
          <w:rFonts w:hint="eastAsia" w:ascii="仿宋" w:hAnsi="仿宋" w:eastAsia="仿宋" w:cs="仿宋"/>
          <w:spacing w:val="6"/>
          <w:sz w:val="31"/>
          <w:szCs w:val="31"/>
          <w:shd w:val="clear" w:color="auto" w:fill="auto"/>
          <w:lang w:val="en-US" w:eastAsia="zh-CN"/>
        </w:rPr>
        <w:t>933.96</w:t>
      </w:r>
      <w:r>
        <w:rPr>
          <w:rFonts w:hint="eastAsia" w:ascii="仿宋" w:hAnsi="仿宋" w:eastAsia="仿宋" w:cs="仿宋"/>
          <w:spacing w:val="5"/>
          <w:sz w:val="31"/>
          <w:szCs w:val="31"/>
          <w:shd w:val="clear" w:color="auto" w:fill="auto"/>
        </w:rPr>
        <w:t>万元，与</w:t>
      </w:r>
      <w:r>
        <w:rPr>
          <w:rFonts w:hint="eastAsia" w:ascii="仿宋" w:hAnsi="仿宋" w:eastAsia="仿宋" w:cs="仿宋"/>
          <w:spacing w:val="-33"/>
          <w:sz w:val="31"/>
          <w:szCs w:val="31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shd w:val="clear" w:color="auto" w:fill="auto"/>
        </w:rPr>
        <w:t>2022年</w:t>
      </w:r>
      <w:r>
        <w:rPr>
          <w:rFonts w:hint="eastAsia" w:ascii="仿宋" w:hAnsi="仿宋" w:eastAsia="仿宋" w:cs="仿宋"/>
          <w:spacing w:val="-9"/>
          <w:sz w:val="31"/>
          <w:szCs w:val="31"/>
          <w:shd w:val="clear" w:color="auto" w:fill="auto"/>
        </w:rPr>
        <w:t>相比，财政拨款收、支总计各减少</w:t>
      </w:r>
      <w:r>
        <w:rPr>
          <w:rFonts w:hint="eastAsia" w:ascii="仿宋" w:hAnsi="仿宋" w:eastAsia="仿宋" w:cs="仿宋"/>
          <w:spacing w:val="-9"/>
          <w:sz w:val="31"/>
          <w:szCs w:val="31"/>
          <w:shd w:val="clear" w:color="auto" w:fill="auto"/>
          <w:lang w:val="en-US" w:eastAsia="zh-CN"/>
        </w:rPr>
        <w:t>365.30</w:t>
      </w:r>
      <w:r>
        <w:rPr>
          <w:rFonts w:hint="eastAsia" w:ascii="仿宋" w:hAnsi="仿宋" w:eastAsia="仿宋" w:cs="仿宋"/>
          <w:spacing w:val="-9"/>
          <w:sz w:val="31"/>
          <w:szCs w:val="31"/>
          <w:shd w:val="clear" w:color="auto" w:fill="auto"/>
        </w:rPr>
        <w:t>万元</w:t>
      </w:r>
      <w:r>
        <w:rPr>
          <w:rFonts w:hint="eastAsia" w:ascii="仿宋" w:hAnsi="仿宋" w:eastAsia="仿宋" w:cs="仿宋"/>
          <w:spacing w:val="-9"/>
          <w:sz w:val="31"/>
          <w:szCs w:val="31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pacing w:val="-9"/>
          <w:sz w:val="31"/>
          <w:szCs w:val="31"/>
          <w:shd w:val="clear" w:color="auto" w:fill="auto"/>
        </w:rPr>
        <w:t>降</w:t>
      </w:r>
      <w:r>
        <w:rPr>
          <w:rFonts w:hint="eastAsia" w:ascii="仿宋" w:hAnsi="仿宋" w:eastAsia="仿宋" w:cs="仿宋"/>
          <w:spacing w:val="-1"/>
          <w:sz w:val="31"/>
          <w:szCs w:val="31"/>
          <w:shd w:val="clear" w:color="auto" w:fill="auto"/>
        </w:rPr>
        <w:t>低</w:t>
      </w:r>
      <w:r>
        <w:rPr>
          <w:rFonts w:hint="eastAsia" w:ascii="仿宋" w:hAnsi="仿宋" w:eastAsia="仿宋" w:cs="仿宋"/>
          <w:spacing w:val="-1"/>
          <w:sz w:val="31"/>
          <w:szCs w:val="31"/>
          <w:shd w:val="clear" w:color="auto" w:fill="auto"/>
          <w:lang w:val="en-US" w:eastAsia="zh-CN"/>
        </w:rPr>
        <w:t>28.12</w:t>
      </w:r>
      <w:r>
        <w:rPr>
          <w:rFonts w:hint="eastAsia" w:ascii="仿宋" w:hAnsi="仿宋" w:eastAsia="仿宋" w:cs="仿宋"/>
          <w:spacing w:val="-1"/>
          <w:sz w:val="31"/>
          <w:szCs w:val="31"/>
          <w:shd w:val="clear" w:color="auto" w:fill="auto"/>
        </w:rPr>
        <w:t>%。主要原因</w:t>
      </w:r>
      <w:r>
        <w:rPr>
          <w:rFonts w:hint="eastAsia" w:ascii="仿宋" w:hAnsi="仿宋" w:eastAsia="仿宋" w:cs="仿宋"/>
          <w:spacing w:val="-83"/>
          <w:sz w:val="31"/>
          <w:szCs w:val="31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spacing w:val="-1"/>
          <w:sz w:val="31"/>
          <w:szCs w:val="31"/>
          <w:shd w:val="clear" w:color="auto" w:fill="auto"/>
        </w:rPr>
        <w:t>:</w:t>
      </w:r>
      <w:r>
        <w:rPr>
          <w:rFonts w:hint="eastAsia" w:ascii="仿宋" w:hAnsi="仿宋" w:eastAsia="仿宋" w:cs="仿宋"/>
          <w:spacing w:val="-1"/>
          <w:sz w:val="31"/>
          <w:szCs w:val="31"/>
          <w:shd w:val="clear" w:color="auto" w:fill="auto"/>
          <w:lang w:val="en-US" w:eastAsia="zh-CN"/>
        </w:rPr>
        <w:t>财政拨款收、支项目减少。</w:t>
      </w:r>
    </w:p>
    <w:p w14:paraId="0F504236">
      <w:pPr>
        <w:pStyle w:val="5"/>
        <w:spacing w:line="286" w:lineRule="auto"/>
        <w:rPr>
          <w:rFonts w:hint="eastAsia" w:ascii="仿宋" w:hAnsi="仿宋" w:eastAsia="仿宋" w:cs="仿宋"/>
        </w:rPr>
      </w:pPr>
    </w:p>
    <w:p w14:paraId="5426584A">
      <w:pPr>
        <w:spacing w:before="10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 w14:paraId="7953DA4B">
      <w:pPr>
        <w:spacing w:before="248" w:line="223" w:lineRule="auto"/>
        <w:ind w:left="66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）一般公共预算财政拨款支出决算总体情况</w:t>
      </w:r>
    </w:p>
    <w:p w14:paraId="505EC827">
      <w:pPr>
        <w:spacing w:before="160" w:line="357" w:lineRule="auto"/>
        <w:ind w:left="68" w:right="9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933.96</w:t>
      </w:r>
      <w:r>
        <w:rPr>
          <w:rFonts w:ascii="仿宋" w:hAnsi="仿宋" w:eastAsia="仿宋" w:cs="仿宋"/>
          <w:spacing w:val="4"/>
          <w:sz w:val="31"/>
          <w:szCs w:val="31"/>
        </w:rPr>
        <w:t>万元，占本年支</w:t>
      </w:r>
      <w:r>
        <w:rPr>
          <w:rFonts w:ascii="仿宋" w:hAnsi="仿宋" w:eastAsia="仿宋" w:cs="仿宋"/>
          <w:spacing w:val="3"/>
          <w:sz w:val="31"/>
          <w:szCs w:val="31"/>
        </w:rPr>
        <w:t>出合计的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。与 </w:t>
      </w:r>
      <w:r>
        <w:rPr>
          <w:rFonts w:ascii="宋体" w:hAnsi="宋体" w:eastAsia="宋体" w:cs="宋体"/>
          <w:spacing w:val="3"/>
          <w:sz w:val="31"/>
          <w:szCs w:val="31"/>
        </w:rPr>
        <w:t>2022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年度相比，一般公共预算财政拨款支</w:t>
      </w:r>
      <w:r>
        <w:rPr>
          <w:rFonts w:ascii="仿宋" w:hAnsi="仿宋" w:eastAsia="仿宋" w:cs="仿宋"/>
          <w:spacing w:val="-1"/>
          <w:sz w:val="31"/>
          <w:szCs w:val="31"/>
        </w:rPr>
        <w:t>出减少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365.30</w:t>
      </w:r>
      <w:r>
        <w:rPr>
          <w:rFonts w:ascii="仿宋" w:hAnsi="仿宋" w:eastAsia="仿宋" w:cs="仿宋"/>
          <w:spacing w:val="-1"/>
          <w:sz w:val="31"/>
          <w:szCs w:val="31"/>
        </w:rPr>
        <w:t>万元，降低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28.12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。主要原因：</w:t>
      </w:r>
      <w:r>
        <w:rPr>
          <w:rFonts w:ascii="仿宋" w:hAnsi="仿宋" w:eastAsia="仿宋" w:cs="仿宋"/>
          <w:spacing w:val="3"/>
          <w:sz w:val="31"/>
          <w:szCs w:val="31"/>
        </w:rPr>
        <w:t>一般公共预算财政拨款支</w:t>
      </w:r>
      <w:r>
        <w:rPr>
          <w:rFonts w:ascii="仿宋" w:hAnsi="仿宋" w:eastAsia="仿宋" w:cs="仿宋"/>
          <w:spacing w:val="-1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减少。</w:t>
      </w:r>
    </w:p>
    <w:p w14:paraId="1086AD3D">
      <w:pPr>
        <w:spacing w:before="51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一般公共预算财政拨款支出决算结构情况</w:t>
      </w:r>
    </w:p>
    <w:p w14:paraId="5CCEB0C6">
      <w:pPr>
        <w:spacing w:before="251" w:line="364" w:lineRule="auto"/>
        <w:ind w:left="68" w:right="7" w:firstLine="603"/>
        <w:jc w:val="both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2023</w:t>
      </w:r>
      <w:r>
        <w:rPr>
          <w:rFonts w:hint="eastAsia"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933.96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万元，主要用于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以下方面：一般公共服务支出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0.54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%；社会保障和就业支出支出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116.66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12.49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%；</w:t>
      </w:r>
      <w:r>
        <w:rPr>
          <w:rFonts w:hint="eastAsia" w:ascii="仿宋" w:hAnsi="仿宋" w:eastAsia="仿宋" w:cs="仿宋"/>
          <w:sz w:val="31"/>
          <w:szCs w:val="31"/>
        </w:rPr>
        <w:t>卫生健康支出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21.79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2.33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%；</w:t>
      </w:r>
      <w:r>
        <w:rPr>
          <w:rFonts w:hint="eastAsia" w:ascii="仿宋" w:hAnsi="仿宋" w:eastAsia="仿宋" w:cs="仿宋"/>
          <w:sz w:val="31"/>
          <w:szCs w:val="31"/>
        </w:rPr>
        <w:t>住房保障支出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29.22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占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3.12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%；</w:t>
      </w:r>
      <w:r>
        <w:rPr>
          <w:rFonts w:hint="eastAsia" w:ascii="仿宋" w:hAnsi="仿宋" w:eastAsia="仿宋" w:cs="仿宋"/>
          <w:sz w:val="31"/>
          <w:szCs w:val="31"/>
        </w:rPr>
        <w:t>粮油物资储备支出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支</w:t>
      </w:r>
      <w:r>
        <w:rPr>
          <w:rFonts w:hint="eastAsia" w:ascii="仿宋" w:hAnsi="仿宋" w:eastAsia="仿宋" w:cs="仿宋"/>
          <w:spacing w:val="-16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>761.29</w:t>
      </w:r>
      <w:r>
        <w:rPr>
          <w:rFonts w:hint="eastAsia" w:ascii="仿宋" w:hAnsi="仿宋" w:eastAsia="仿宋" w:cs="仿宋"/>
          <w:spacing w:val="-1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60"/>
          <w:sz w:val="31"/>
          <w:szCs w:val="31"/>
          <w:lang w:val="en-US" w:eastAsia="zh-CN"/>
        </w:rPr>
        <w:t>81.52</w:t>
      </w:r>
      <w:r>
        <w:rPr>
          <w:rFonts w:hint="eastAsia" w:ascii="仿宋" w:hAnsi="仿宋" w:eastAsia="仿宋" w:cs="仿宋"/>
          <w:spacing w:val="-16"/>
          <w:sz w:val="31"/>
          <w:szCs w:val="31"/>
        </w:rPr>
        <w:t>%</w:t>
      </w:r>
      <w:r>
        <w:rPr>
          <w:rFonts w:hint="eastAsia"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642411A4">
      <w:pPr>
        <w:spacing w:before="249" w:line="223" w:lineRule="auto"/>
        <w:ind w:firstLine="930" w:firstLineChars="300"/>
        <w:rPr>
          <w:rFonts w:ascii="仿宋" w:hAnsi="仿宋" w:eastAsia="仿宋" w:cs="仿宋"/>
          <w:sz w:val="31"/>
          <w:szCs w:val="31"/>
        </w:rPr>
      </w:pPr>
    </w:p>
    <w:p w14:paraId="3CCB7832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7" w:h="16839"/>
          <w:pgMar w:top="1431" w:right="1714" w:bottom="1153" w:left="1785" w:header="0" w:footer="965" w:gutter="0"/>
          <w:pgNumType w:fmt="decimal"/>
          <w:cols w:space="720" w:num="1"/>
        </w:sectPr>
      </w:pPr>
    </w:p>
    <w:p w14:paraId="63B84915">
      <w:pPr>
        <w:spacing w:before="52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一般公共预算财政拨款支出决算具体情况</w:t>
      </w:r>
    </w:p>
    <w:p w14:paraId="32C4D749"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</w:rPr>
        <w:t>2023年度一般公共预算财政拨款支出年初预算为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939</w:t>
      </w:r>
      <w:r>
        <w:rPr>
          <w:rFonts w:hint="eastAsia" w:ascii="仿宋" w:hAnsi="仿宋" w:eastAsia="仿宋" w:cs="仿宋"/>
          <w:spacing w:val="12"/>
          <w:sz w:val="31"/>
          <w:szCs w:val="31"/>
        </w:rPr>
        <w:t>万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元，支出决算为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933.96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99.46</w:t>
      </w:r>
      <w:r>
        <w:rPr>
          <w:rFonts w:hint="eastAsia" w:ascii="仿宋" w:hAnsi="仿宋" w:eastAsia="仿宋" w:cs="仿宋"/>
          <w:spacing w:val="4"/>
          <w:sz w:val="31"/>
          <w:szCs w:val="31"/>
        </w:rPr>
        <w:t>%。其中：</w:t>
      </w:r>
    </w:p>
    <w:p w14:paraId="7231226C">
      <w:pPr>
        <w:spacing w:before="54" w:line="361" w:lineRule="auto"/>
        <w:ind w:left="30" w:firstLine="660"/>
        <w:rPr>
          <w:rFonts w:hint="eastAsia" w:ascii="仿宋" w:hAnsi="仿宋" w:eastAsia="仿宋" w:cs="仿宋"/>
          <w:spacing w:val="-1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1"/>
          <w:szCs w:val="31"/>
        </w:rPr>
        <w:t>1.</w:t>
      </w:r>
      <w:bookmarkStart w:id="7" w:name="OLE_LINK9"/>
      <w:r>
        <w:rPr>
          <w:rFonts w:hint="eastAsia" w:ascii="仿宋" w:hAnsi="仿宋" w:eastAsia="仿宋" w:cs="仿宋"/>
          <w:spacing w:val="-12"/>
          <w:sz w:val="31"/>
          <w:szCs w:val="31"/>
        </w:rPr>
        <w:t>一般公共服务（类）</w:t>
      </w:r>
      <w:r>
        <w:rPr>
          <w:rFonts w:hint="eastAsia"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财政事务（款）</w:t>
      </w:r>
      <w:r>
        <w:rPr>
          <w:rFonts w:hint="eastAsia"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行政运行（项）</w:t>
      </w:r>
      <w:bookmarkEnd w:id="7"/>
      <w:r>
        <w:rPr>
          <w:rFonts w:hint="eastAsia"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59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58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完成年初预算</w:t>
      </w:r>
      <w:r>
        <w:rPr>
          <w:rFonts w:hint="eastAsia" w:ascii="仿宋" w:hAnsi="仿宋" w:eastAsia="仿宋" w:cs="仿宋"/>
          <w:spacing w:val="4"/>
          <w:sz w:val="31"/>
          <w:szCs w:val="31"/>
        </w:rPr>
        <w:t>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%。决算数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等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于预算数的主要原因是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一般行政管理事务</w:t>
      </w:r>
      <w:r>
        <w:rPr>
          <w:rFonts w:hint="eastAsia" w:ascii="仿宋" w:hAnsi="仿宋" w:eastAsia="仿宋" w:cs="仿宋"/>
          <w:spacing w:val="-12"/>
          <w:sz w:val="31"/>
          <w:szCs w:val="31"/>
          <w:lang w:val="en-US" w:eastAsia="zh-CN"/>
        </w:rPr>
        <w:t>无差异。</w:t>
      </w:r>
    </w:p>
    <w:p w14:paraId="6E021823">
      <w:pPr>
        <w:spacing w:before="52" w:line="322" w:lineRule="auto"/>
        <w:ind w:right="98" w:firstLine="632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2.</w:t>
      </w:r>
      <w:bookmarkStart w:id="8" w:name="OLE_LINK10"/>
      <w:r>
        <w:rPr>
          <w:rFonts w:hint="eastAsia" w:ascii="仿宋" w:hAnsi="仿宋" w:eastAsia="仿宋" w:cs="仿宋"/>
          <w:spacing w:val="3"/>
          <w:sz w:val="31"/>
          <w:szCs w:val="31"/>
        </w:rPr>
        <w:t>社会保障和就业支出</w:t>
      </w:r>
      <w:bookmarkEnd w:id="8"/>
      <w:r>
        <w:rPr>
          <w:rFonts w:hint="eastAsia" w:ascii="仿宋" w:hAnsi="仿宋" w:eastAsia="仿宋" w:cs="仿宋"/>
          <w:spacing w:val="3"/>
          <w:sz w:val="31"/>
          <w:szCs w:val="31"/>
        </w:rPr>
        <w:t>。年初预算为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120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116.66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97.22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%。决算数小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于预算数的主要原因是</w:t>
      </w:r>
      <w:r>
        <w:rPr>
          <w:rFonts w:hint="eastAsia" w:ascii="仿宋" w:hAnsi="仿宋" w:eastAsia="仿宋" w:cs="仿宋"/>
          <w:spacing w:val="3"/>
          <w:sz w:val="31"/>
          <w:szCs w:val="31"/>
        </w:rPr>
        <w:t>社会保障和就业支出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计算差异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。</w:t>
      </w:r>
    </w:p>
    <w:p w14:paraId="6068DAD5">
      <w:pPr>
        <w:spacing w:before="160" w:line="349" w:lineRule="auto"/>
        <w:ind w:right="-397" w:rightChars="0" w:firstLine="620" w:firstLineChars="200"/>
        <w:rPr>
          <w:rFonts w:ascii="仿宋" w:hAnsi="仿宋" w:eastAsia="仿宋" w:cs="仿宋"/>
          <w:spacing w:val="-6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3. 住房保障支出。</w:t>
      </w:r>
      <w:bookmarkStart w:id="9" w:name="OLE_LINK11"/>
      <w:r>
        <w:rPr>
          <w:rFonts w:hint="eastAsia" w:ascii="仿宋" w:hAnsi="仿宋" w:eastAsia="仿宋" w:cs="仿宋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57"/>
          <w:sz w:val="31"/>
          <w:szCs w:val="31"/>
          <w:lang w:val="en-US" w:eastAsia="zh-CN"/>
        </w:rPr>
        <w:t>29.70</w:t>
      </w:r>
      <w:r>
        <w:rPr>
          <w:rFonts w:hint="eastAsia" w:ascii="仿宋" w:hAnsi="仿宋" w:eastAsia="仿宋" w:cs="仿宋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29.22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98.38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%。决算数小</w:t>
      </w:r>
      <w:r>
        <w:rPr>
          <w:rFonts w:ascii="仿宋" w:hAnsi="仿宋" w:eastAsia="仿宋" w:cs="仿宋"/>
          <w:spacing w:val="-6"/>
          <w:sz w:val="31"/>
          <w:szCs w:val="31"/>
        </w:rPr>
        <w:t>于预算数的主要原因是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住房保障支出计算差异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 w14:paraId="48150B77">
      <w:pPr>
        <w:spacing w:before="160" w:line="349" w:lineRule="auto"/>
        <w:ind w:right="-397" w:rightChars="0"/>
        <w:rPr>
          <w:rFonts w:hint="default" w:eastAsia="仿宋"/>
          <w:lang w:val="en-US" w:eastAsia="zh-CN"/>
        </w:rPr>
      </w:pP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</w:t>
      </w:r>
      <w:r>
        <w:rPr>
          <w:rFonts w:ascii="宋体" w:hAnsi="宋体" w:eastAsia="宋体" w:cs="宋体"/>
          <w:spacing w:val="-5"/>
          <w:sz w:val="31"/>
          <w:szCs w:val="31"/>
        </w:rPr>
        <w:t>4.</w:t>
      </w:r>
      <w:r>
        <w:rPr>
          <w:rFonts w:ascii="宋体" w:hAnsi="宋体" w:eastAsia="宋体" w:cs="宋体"/>
          <w:spacing w:val="-10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粮油物资储备支出</w:t>
      </w:r>
      <w: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年初预算为762.20万元，支出决算为761.29万元，完成年初预算的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99.88%。决算数小于预算数主要原因是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粮油物资储备支出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计算差异。</w:t>
      </w:r>
    </w:p>
    <w:p w14:paraId="0F478452">
      <w:pPr>
        <w:spacing w:before="250" w:line="297" w:lineRule="auto"/>
        <w:ind w:left="34" w:right="98" w:firstLine="639"/>
        <w:rPr>
          <w:rFonts w:hint="eastAsia" w:ascii="仿宋" w:hAnsi="仿宋" w:eastAsia="仿宋" w:cs="仿宋"/>
          <w:sz w:val="31"/>
          <w:szCs w:val="31"/>
        </w:rPr>
        <w:sectPr>
          <w:footerReference r:id="rId17" w:type="default"/>
          <w:pgSz w:w="11907" w:h="16839"/>
          <w:pgMar w:top="1431" w:right="1708" w:bottom="1153" w:left="1785" w:header="0" w:footer="965" w:gutter="0"/>
          <w:pgNumType w:fmt="decimal"/>
          <w:cols w:space="720" w:num="1"/>
        </w:sectPr>
      </w:pPr>
    </w:p>
    <w:bookmarkEnd w:id="9"/>
    <w:p w14:paraId="22F18651">
      <w:pPr>
        <w:spacing w:before="101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 w14:paraId="3C604DF5">
      <w:pPr>
        <w:spacing w:before="247" w:line="357" w:lineRule="auto"/>
        <w:ind w:left="64" w:right="96" w:firstLine="607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年度一般公共预算财政拨款基本支出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513.31</w:t>
      </w:r>
      <w:r>
        <w:rPr>
          <w:rFonts w:ascii="仿宋" w:hAnsi="仿宋" w:eastAsia="仿宋" w:cs="仿宋"/>
          <w:spacing w:val="12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中：</w:t>
      </w:r>
    </w:p>
    <w:p w14:paraId="287D2039">
      <w:pPr>
        <w:spacing w:before="53" w:line="367" w:lineRule="auto"/>
        <w:ind w:left="29" w:right="9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人员经费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467.24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，主要包括：基本工资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172.52万元</w:t>
      </w:r>
      <w:r>
        <w:rPr>
          <w:rFonts w:ascii="仿宋" w:hAnsi="仿宋" w:eastAsia="仿宋" w:cs="仿宋"/>
          <w:spacing w:val="7"/>
          <w:sz w:val="31"/>
          <w:szCs w:val="31"/>
        </w:rPr>
        <w:t>、津贴补贴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39.01万元</w:t>
      </w:r>
      <w:r>
        <w:rPr>
          <w:rFonts w:ascii="仿宋" w:hAnsi="仿宋" w:eastAsia="仿宋" w:cs="仿宋"/>
          <w:spacing w:val="7"/>
          <w:sz w:val="31"/>
          <w:szCs w:val="31"/>
        </w:rPr>
        <w:t>、奖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30.84万元</w:t>
      </w:r>
      <w:r>
        <w:rPr>
          <w:rFonts w:ascii="仿宋" w:hAnsi="仿宋" w:eastAsia="仿宋" w:cs="仿宋"/>
          <w:spacing w:val="9"/>
          <w:sz w:val="31"/>
          <w:szCs w:val="31"/>
        </w:rPr>
        <w:t>、绩效工资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54.05万元</w:t>
      </w:r>
      <w:r>
        <w:rPr>
          <w:rFonts w:ascii="仿宋" w:hAnsi="仿宋" w:eastAsia="仿宋" w:cs="仿宋"/>
          <w:spacing w:val="9"/>
          <w:sz w:val="31"/>
          <w:szCs w:val="31"/>
        </w:rPr>
        <w:t>、机关事业单位基</w:t>
      </w:r>
      <w:r>
        <w:rPr>
          <w:rFonts w:ascii="仿宋" w:hAnsi="仿宋" w:eastAsia="仿宋" w:cs="仿宋"/>
          <w:spacing w:val="8"/>
          <w:sz w:val="31"/>
          <w:szCs w:val="31"/>
        </w:rPr>
        <w:t>本养老保险缴</w:t>
      </w:r>
      <w:r>
        <w:rPr>
          <w:rFonts w:ascii="仿宋" w:hAnsi="仿宋" w:eastAsia="仿宋" w:cs="仿宋"/>
          <w:spacing w:val="9"/>
          <w:sz w:val="31"/>
          <w:szCs w:val="31"/>
        </w:rPr>
        <w:t>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51.83万元</w:t>
      </w:r>
      <w:r>
        <w:rPr>
          <w:rFonts w:ascii="仿宋" w:hAnsi="仿宋" w:eastAsia="仿宋" w:cs="仿宋"/>
          <w:spacing w:val="9"/>
          <w:sz w:val="31"/>
          <w:szCs w:val="31"/>
        </w:rPr>
        <w:t>、职业年金缴费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9.64万元</w:t>
      </w:r>
      <w:r>
        <w:rPr>
          <w:rFonts w:ascii="仿宋" w:hAnsi="仿宋" w:eastAsia="仿宋" w:cs="仿宋"/>
          <w:spacing w:val="9"/>
          <w:sz w:val="31"/>
          <w:szCs w:val="31"/>
        </w:rPr>
        <w:t>、职工基本医疗保险缴费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20.98万元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其他社会保障缴费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1.69万元</w:t>
      </w:r>
      <w:r>
        <w:rPr>
          <w:rFonts w:ascii="仿宋" w:hAnsi="仿宋" w:eastAsia="仿宋" w:cs="仿宋"/>
          <w:spacing w:val="5"/>
          <w:sz w:val="31"/>
          <w:szCs w:val="31"/>
        </w:rPr>
        <w:t>、住房公积金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29.22万元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抚恤金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55.19万元</w:t>
      </w:r>
      <w:r>
        <w:rPr>
          <w:rFonts w:ascii="仿宋" w:hAnsi="仿宋" w:eastAsia="仿宋" w:cs="仿宋"/>
          <w:spacing w:val="2"/>
          <w:sz w:val="31"/>
          <w:szCs w:val="31"/>
        </w:rPr>
        <w:t>、生</w:t>
      </w:r>
      <w:r>
        <w:rPr>
          <w:rFonts w:ascii="仿宋" w:hAnsi="仿宋" w:eastAsia="仿宋" w:cs="仿宋"/>
          <w:spacing w:val="9"/>
          <w:sz w:val="31"/>
          <w:szCs w:val="31"/>
        </w:rPr>
        <w:t>活补助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1.65万元</w:t>
      </w:r>
      <w:r>
        <w:rPr>
          <w:rFonts w:ascii="仿宋" w:hAnsi="仿宋" w:eastAsia="仿宋" w:cs="仿宋"/>
          <w:spacing w:val="9"/>
          <w:sz w:val="31"/>
          <w:szCs w:val="31"/>
        </w:rPr>
        <w:t>、奖励金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0.62万元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 w14:paraId="658F3B57">
      <w:pPr>
        <w:spacing w:before="254" w:line="367" w:lineRule="auto"/>
        <w:ind w:left="26" w:firstLine="641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7" w:h="16839"/>
          <w:pgMar w:top="1431" w:right="1699" w:bottom="1153" w:left="1785" w:header="0" w:footer="965" w:gutter="0"/>
          <w:pgNumType w:fmt="decimal"/>
          <w:cols w:space="720" w:num="1"/>
        </w:sect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公用经费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46.07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，主要包括：办公费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6.60万元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手续费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0.07万元</w:t>
      </w:r>
      <w:r>
        <w:rPr>
          <w:rFonts w:ascii="仿宋" w:hAnsi="仿宋" w:eastAsia="仿宋" w:cs="仿宋"/>
          <w:spacing w:val="9"/>
          <w:sz w:val="31"/>
          <w:szCs w:val="31"/>
        </w:rPr>
        <w:t>、水费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0.04万元</w:t>
      </w:r>
      <w:r>
        <w:rPr>
          <w:rFonts w:ascii="仿宋" w:hAnsi="仿宋" w:eastAsia="仿宋" w:cs="仿宋"/>
          <w:spacing w:val="9"/>
          <w:sz w:val="31"/>
          <w:szCs w:val="31"/>
        </w:rPr>
        <w:t>、电费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1.78万元</w:t>
      </w:r>
      <w:r>
        <w:rPr>
          <w:rFonts w:ascii="仿宋" w:hAnsi="仿宋" w:eastAsia="仿宋" w:cs="仿宋"/>
          <w:spacing w:val="9"/>
          <w:sz w:val="31"/>
          <w:szCs w:val="31"/>
        </w:rPr>
        <w:t>、邮电费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2.86万元</w:t>
      </w:r>
      <w:r>
        <w:rPr>
          <w:rFonts w:ascii="仿宋" w:hAnsi="仿宋" w:eastAsia="仿宋" w:cs="仿宋"/>
          <w:spacing w:val="9"/>
          <w:sz w:val="31"/>
          <w:szCs w:val="31"/>
        </w:rPr>
        <w:t>、取暖费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10.47万元</w:t>
      </w:r>
      <w:r>
        <w:rPr>
          <w:rFonts w:ascii="仿宋" w:hAnsi="仿宋" w:eastAsia="仿宋" w:cs="仿宋"/>
          <w:spacing w:val="8"/>
          <w:sz w:val="31"/>
          <w:szCs w:val="31"/>
        </w:rPr>
        <w:t>、差旅</w:t>
      </w:r>
      <w:r>
        <w:rPr>
          <w:rFonts w:ascii="仿宋" w:hAnsi="仿宋" w:eastAsia="仿宋" w:cs="仿宋"/>
          <w:sz w:val="31"/>
          <w:szCs w:val="31"/>
        </w:rPr>
        <w:t>费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5.72万元</w:t>
      </w:r>
      <w:r>
        <w:rPr>
          <w:rFonts w:ascii="仿宋" w:hAnsi="仿宋" w:eastAsia="仿宋" w:cs="仿宋"/>
          <w:spacing w:val="9"/>
          <w:sz w:val="31"/>
          <w:szCs w:val="31"/>
        </w:rPr>
        <w:t>、专用材料费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1.73万元、</w:t>
      </w:r>
      <w:r>
        <w:rPr>
          <w:rFonts w:ascii="仿宋" w:hAnsi="仿宋" w:eastAsia="仿宋" w:cs="仿宋"/>
          <w:spacing w:val="9"/>
          <w:sz w:val="31"/>
          <w:szCs w:val="31"/>
        </w:rPr>
        <w:t>劳务费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0.40万元</w:t>
      </w:r>
      <w:r>
        <w:rPr>
          <w:rFonts w:ascii="仿宋" w:hAnsi="仿宋" w:eastAsia="仿宋" w:cs="仿宋"/>
          <w:spacing w:val="9"/>
          <w:sz w:val="31"/>
          <w:szCs w:val="31"/>
        </w:rPr>
        <w:t>、工会经费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2.50万元</w:t>
      </w:r>
      <w:r>
        <w:rPr>
          <w:rFonts w:ascii="仿宋" w:hAnsi="仿宋" w:eastAsia="仿宋" w:cs="仿宋"/>
          <w:spacing w:val="9"/>
          <w:sz w:val="31"/>
          <w:szCs w:val="31"/>
        </w:rPr>
        <w:t>、其他交通费用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8.65万元</w:t>
      </w:r>
      <w:r>
        <w:rPr>
          <w:rFonts w:ascii="仿宋" w:hAnsi="仿宋" w:eastAsia="仿宋" w:cs="仿宋"/>
          <w:spacing w:val="9"/>
          <w:sz w:val="31"/>
          <w:szCs w:val="31"/>
        </w:rPr>
        <w:t>、其</w:t>
      </w:r>
      <w:r>
        <w:rPr>
          <w:rFonts w:ascii="仿宋" w:hAnsi="仿宋" w:eastAsia="仿宋" w:cs="仿宋"/>
          <w:spacing w:val="8"/>
          <w:sz w:val="31"/>
          <w:szCs w:val="31"/>
        </w:rPr>
        <w:t>他商品和服</w:t>
      </w:r>
      <w:r>
        <w:rPr>
          <w:rFonts w:ascii="仿宋" w:hAnsi="仿宋" w:eastAsia="仿宋" w:cs="仿宋"/>
          <w:spacing w:val="9"/>
          <w:sz w:val="31"/>
          <w:szCs w:val="31"/>
        </w:rPr>
        <w:t>务支出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4.26万元</w:t>
      </w:r>
      <w:r>
        <w:rPr>
          <w:rFonts w:ascii="仿宋" w:hAnsi="仿宋" w:eastAsia="仿宋" w:cs="仿宋"/>
          <w:spacing w:val="9"/>
          <w:sz w:val="31"/>
          <w:szCs w:val="31"/>
        </w:rPr>
        <w:t>、办公设备购置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1.00万元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 w14:paraId="774A8C2C">
      <w:pPr>
        <w:pStyle w:val="5"/>
        <w:spacing w:line="256" w:lineRule="auto"/>
      </w:pPr>
    </w:p>
    <w:p w14:paraId="75478DF1">
      <w:pPr>
        <w:pStyle w:val="5"/>
        <w:spacing w:line="256" w:lineRule="auto"/>
      </w:pPr>
    </w:p>
    <w:p w14:paraId="61945361">
      <w:pPr>
        <w:pStyle w:val="5"/>
        <w:spacing w:line="256" w:lineRule="auto"/>
      </w:pPr>
    </w:p>
    <w:p w14:paraId="1EAE531C">
      <w:pPr>
        <w:spacing w:before="101" w:line="224" w:lineRule="auto"/>
        <w:ind w:left="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 w14:paraId="1F34099B">
      <w:pPr>
        <w:spacing w:before="250" w:line="322" w:lineRule="auto"/>
        <w:ind w:left="34" w:right="158" w:firstLine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33"/>
          <w:sz w:val="31"/>
          <w:szCs w:val="31"/>
        </w:rPr>
        <w:t>年度政府性基金预算财政拨款年初结转和结余</w:t>
      </w:r>
      <w:r>
        <w:rPr>
          <w:rFonts w:ascii="仿宋" w:hAnsi="仿宋" w:eastAsia="仿宋" w:cs="仿宋"/>
          <w:sz w:val="31"/>
          <w:szCs w:val="31"/>
        </w:rPr>
        <w:t xml:space="preserve">  万元；本年收入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，增长（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降）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；本年支出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比上年增加（减少）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53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；年末结转和结余</w:t>
      </w:r>
      <w:r>
        <w:rPr>
          <w:rFonts w:hint="eastAsia" w:ascii="仿宋" w:hAnsi="仿宋" w:eastAsia="仿宋" w:cs="仿宋"/>
          <w:spacing w:val="4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>元。</w:t>
      </w:r>
    </w:p>
    <w:p w14:paraId="02053A17">
      <w:pPr>
        <w:spacing w:before="158" w:line="224" w:lineRule="auto"/>
        <w:ind w:left="7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八、国有资本经营预算财政拨款支出决算情况说明</w:t>
      </w:r>
    </w:p>
    <w:p w14:paraId="00D3A5CF">
      <w:pPr>
        <w:spacing w:before="248" w:line="220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年度国有资本经营预算年初结转和结余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万元；</w:t>
      </w:r>
    </w:p>
    <w:p w14:paraId="3F3DBBE6">
      <w:pPr>
        <w:spacing w:before="251" w:line="322" w:lineRule="auto"/>
        <w:ind w:left="33" w:right="8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本年收入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"/>
          <w:sz w:val="31"/>
          <w:szCs w:val="31"/>
        </w:rPr>
        <w:t>%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；本年支出</w:t>
      </w:r>
      <w:r>
        <w:rPr>
          <w:rFonts w:hint="eastAsia" w:ascii="仿宋" w:hAnsi="仿宋" w:eastAsia="仿宋" w:cs="仿宋"/>
          <w:spacing w:val="49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比上年增加（减少）</w:t>
      </w:r>
      <w:r>
        <w:rPr>
          <w:rFonts w:hint="eastAsia" w:ascii="仿宋" w:hAnsi="仿宋" w:eastAsia="仿宋" w:cs="仿宋"/>
          <w:spacing w:val="-9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5"/>
          <w:sz w:val="31"/>
          <w:szCs w:val="31"/>
        </w:rPr>
        <w:t>增长（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52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>；年末结转和结余</w:t>
      </w:r>
      <w:r>
        <w:rPr>
          <w:rFonts w:hint="eastAsia" w:ascii="仿宋" w:hAnsi="仿宋" w:eastAsia="仿宋" w:cs="仿宋"/>
          <w:spacing w:val="4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27D040CD">
      <w:pPr>
        <w:pStyle w:val="5"/>
        <w:spacing w:line="255" w:lineRule="auto"/>
      </w:pPr>
    </w:p>
    <w:p w14:paraId="6ABBC6C5">
      <w:pPr>
        <w:pStyle w:val="5"/>
        <w:spacing w:line="256" w:lineRule="auto"/>
      </w:pPr>
    </w:p>
    <w:p w14:paraId="1D42AB31">
      <w:pPr>
        <w:spacing w:before="101" w:line="224" w:lineRule="auto"/>
        <w:ind w:firstLine="978" w:firstLineChars="3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九、财政拨款“三公”经费支出决算情况说明</w:t>
      </w:r>
    </w:p>
    <w:p w14:paraId="35748B95">
      <w:pPr>
        <w:spacing w:before="249" w:line="223" w:lineRule="auto"/>
        <w:ind w:firstLine="64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一）“三公”经费财政拨款支出决算总体情况说明</w:t>
      </w:r>
    </w:p>
    <w:p w14:paraId="543162F5">
      <w:pPr>
        <w:spacing w:before="156" w:line="362" w:lineRule="auto"/>
        <w:ind w:left="41" w:firstLine="2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年度“三公”经费财政拨款支出预算为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万元，支</w:t>
      </w:r>
      <w:r>
        <w:rPr>
          <w:rFonts w:ascii="仿宋" w:hAnsi="仿宋" w:eastAsia="仿宋" w:cs="仿宋"/>
          <w:spacing w:val="-1"/>
          <w:sz w:val="31"/>
          <w:szCs w:val="31"/>
        </w:rPr>
        <w:t>出决算为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；较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2022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年度增加（减少）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070DEBF7">
      <w:pPr>
        <w:spacing w:before="50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（二）“三公”经费财政拨款支出决算具体情况说明</w:t>
      </w:r>
    </w:p>
    <w:p w14:paraId="485C4522">
      <w:pPr>
        <w:spacing w:before="248" w:line="366" w:lineRule="auto"/>
        <w:ind w:left="23" w:right="74" w:firstLine="66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sz w:val="31"/>
          <w:szCs w:val="31"/>
        </w:rPr>
        <w:t>因公出国（境）费预算为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宋体" w:hAnsi="宋体" w:eastAsia="宋体" w:cs="宋体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pacing w:val="2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 xml:space="preserve"> 完成预算的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z w:val="31"/>
          <w:szCs w:val="31"/>
        </w:rPr>
        <w:t>%</w:t>
      </w:r>
      <w:r>
        <w:rPr>
          <w:rFonts w:ascii="仿宋" w:hAnsi="仿宋" w:eastAsia="仿宋" w:cs="仿宋"/>
          <w:sz w:val="31"/>
          <w:szCs w:val="31"/>
        </w:rPr>
        <w:t>；支出决算较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2022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年度增加（减少）</w:t>
      </w:r>
      <w:r>
        <w:rPr>
          <w:rFonts w:hint="eastAsia" w:ascii="仿宋" w:hAnsi="仿宋" w:eastAsia="仿宋" w:cs="仿宋"/>
          <w:spacing w:val="-3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万元， </w:t>
      </w:r>
      <w:r>
        <w:rPr>
          <w:rFonts w:ascii="仿宋" w:hAnsi="仿宋" w:eastAsia="仿宋" w:cs="仿宋"/>
          <w:spacing w:val="6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79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2"/>
          <w:sz w:val="31"/>
          <w:szCs w:val="31"/>
        </w:rPr>
        <w:t>全年共有因公出国（境）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团组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个，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因公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出国（境）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人次。</w:t>
      </w:r>
    </w:p>
    <w:p w14:paraId="10A40A61">
      <w:pPr>
        <w:spacing w:before="249" w:line="223" w:lineRule="auto"/>
        <w:ind w:left="671"/>
        <w:rPr>
          <w:rFonts w:ascii="仿宋" w:hAnsi="仿宋" w:eastAsia="仿宋" w:cs="仿宋"/>
          <w:sz w:val="31"/>
          <w:szCs w:val="31"/>
        </w:rPr>
      </w:pPr>
    </w:p>
    <w:p w14:paraId="13C387F1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7" w:h="16839"/>
          <w:pgMar w:top="1431" w:right="1714" w:bottom="1153" w:left="1785" w:header="0" w:footer="965" w:gutter="0"/>
          <w:pgNumType w:fmt="decimal"/>
          <w:cols w:space="720" w:num="1"/>
        </w:sectPr>
      </w:pPr>
    </w:p>
    <w:p w14:paraId="1C6DA6B4">
      <w:pPr>
        <w:spacing w:line="221" w:lineRule="auto"/>
        <w:ind w:firstLine="704" w:firstLineChars="200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20" w:type="default"/>
          <w:pgSz w:w="11907" w:h="16839"/>
          <w:pgMar w:top="1431" w:right="1642" w:bottom="1153" w:left="1785" w:header="0" w:footer="965" w:gutter="0"/>
          <w:pgNumType w:fmt="decimal"/>
          <w:cols w:space="720" w:num="1"/>
        </w:sectPr>
      </w:pPr>
      <w:bookmarkStart w:id="10" w:name="OLE_LINK8"/>
      <w:r>
        <w:rPr>
          <w:rFonts w:ascii="宋体" w:hAnsi="宋体" w:eastAsia="宋体" w:cs="宋体"/>
          <w:spacing w:val="21"/>
          <w:sz w:val="31"/>
          <w:szCs w:val="31"/>
        </w:rPr>
        <w:t>2.</w:t>
      </w:r>
      <w:r>
        <w:rPr>
          <w:rFonts w:ascii="仿宋" w:hAnsi="仿宋" w:eastAsia="仿宋" w:cs="仿宋"/>
          <w:spacing w:val="21"/>
          <w:sz w:val="31"/>
          <w:szCs w:val="31"/>
        </w:rPr>
        <w:t>公务用车购置及运行费预算为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1"/>
          <w:sz w:val="31"/>
          <w:szCs w:val="31"/>
        </w:rPr>
        <w:t>万元</w:t>
      </w:r>
      <w:r>
        <w:rPr>
          <w:rFonts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；较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年度增加（减少）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bookmarkEnd w:id="10"/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79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4C5161C6">
      <w:pPr>
        <w:spacing w:before="53" w:line="362" w:lineRule="auto"/>
        <w:ind w:right="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 w14:paraId="0A99FF12">
      <w:pPr>
        <w:numPr>
          <w:ilvl w:val="0"/>
          <w:numId w:val="2"/>
        </w:numPr>
        <w:spacing w:before="101" w:line="224" w:lineRule="auto"/>
        <w:ind w:left="750"/>
        <w:outlineLvl w:val="3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2023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年度绩效评价情况说明</w:t>
      </w:r>
    </w:p>
    <w:p w14:paraId="5985B965">
      <w:pPr>
        <w:numPr>
          <w:ilvl w:val="0"/>
          <w:numId w:val="0"/>
        </w:numPr>
        <w:spacing w:before="101" w:line="224" w:lineRule="auto"/>
        <w:ind w:firstLine="640" w:firstLineChars="200"/>
        <w:outlineLvl w:val="3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一）绩效评价工作开展情况。</w:t>
      </w:r>
    </w:p>
    <w:p w14:paraId="3318DC8D">
      <w:pPr>
        <w:spacing w:before="159" w:line="223" w:lineRule="auto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5"/>
          <w:sz w:val="31"/>
          <w:szCs w:val="31"/>
        </w:rPr>
        <w:t>绩效评价工作开展情况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说明为：根据预算绩效管理要求本部门组织对 2023 年度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9"/>
          <w:sz w:val="31"/>
          <w:szCs w:val="31"/>
        </w:rPr>
        <w:t>一般公共预算项目支出全面开展绩效自评，其中，一级项目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四</w:t>
      </w:r>
      <w:r>
        <w:rPr>
          <w:rFonts w:hint="eastAsia" w:ascii="仿宋" w:hAnsi="仿宋" w:eastAsia="仿宋" w:cs="仿宋"/>
          <w:spacing w:val="1"/>
          <w:sz w:val="31"/>
          <w:szCs w:val="31"/>
        </w:rPr>
        <w:t>个，二级项目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七</w:t>
      </w:r>
      <w:r>
        <w:rPr>
          <w:rFonts w:hint="eastAsia" w:ascii="仿宋" w:hAnsi="仿宋" w:eastAsia="仿宋" w:cs="仿宋"/>
          <w:spacing w:val="1"/>
          <w:sz w:val="31"/>
          <w:szCs w:val="31"/>
        </w:rPr>
        <w:t>个，共涉及资金</w:t>
      </w:r>
      <w:r>
        <w:rPr>
          <w:rFonts w:hint="eastAsia" w:ascii="仿宋" w:hAnsi="仿宋" w:eastAsia="仿宋" w:cs="仿宋"/>
          <w:spacing w:val="-22"/>
          <w:sz w:val="31"/>
          <w:szCs w:val="31"/>
          <w:lang w:val="en-US" w:eastAsia="zh-CN"/>
        </w:rPr>
        <w:t>420.65</w:t>
      </w:r>
      <w:r>
        <w:rPr>
          <w:rFonts w:hint="eastAsia" w:ascii="仿宋" w:hAnsi="仿宋" w:eastAsia="仿宋" w:cs="仿宋"/>
          <w:spacing w:val="1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</w:rPr>
        <w:t>占一般公共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6"/>
          <w:sz w:val="31"/>
          <w:szCs w:val="31"/>
        </w:rPr>
        <w:t>预算项目支出总额的</w:t>
      </w:r>
      <w:r>
        <w:rPr>
          <w:rFonts w:hint="eastAsia" w:ascii="仿宋" w:hAnsi="仿宋" w:eastAsia="仿宋" w:cs="仿宋"/>
          <w:spacing w:val="-60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6"/>
          <w:sz w:val="31"/>
          <w:szCs w:val="31"/>
        </w:rPr>
        <w:t>%。组织对</w:t>
      </w:r>
      <w:r>
        <w:rPr>
          <w:rFonts w:hint="eastAsia"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6"/>
          <w:sz w:val="31"/>
          <w:szCs w:val="31"/>
        </w:rPr>
        <w:t>2023</w:t>
      </w:r>
      <w:r>
        <w:rPr>
          <w:rFonts w:hint="eastAsia"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6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-6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个政府性基金预算项目开展绩效自评，共涉及资金</w:t>
      </w:r>
      <w:r>
        <w:rPr>
          <w:rFonts w:hint="eastAsia" w:ascii="仿宋" w:hAnsi="仿宋" w:eastAsia="仿宋" w:cs="仿宋"/>
          <w:spacing w:val="-45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占政府性基金预算项目支出总额的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8"/>
          <w:sz w:val="31"/>
          <w:szCs w:val="31"/>
        </w:rPr>
        <w:t>%。组织对 2023 年度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3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9"/>
          <w:sz w:val="31"/>
          <w:szCs w:val="31"/>
        </w:rPr>
        <w:t>个国有资本经营预算项目开展绩效自评，共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涉及资金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万元，占国有资本经营预算项目支出总</w:t>
      </w:r>
      <w:r>
        <w:rPr>
          <w:rFonts w:hint="eastAsia" w:ascii="仿宋" w:hAnsi="仿宋" w:eastAsia="仿宋" w:cs="仿宋"/>
          <w:spacing w:val="2"/>
          <w:sz w:val="31"/>
          <w:szCs w:val="31"/>
        </w:rPr>
        <w:t>额的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2"/>
          <w:sz w:val="31"/>
          <w:szCs w:val="31"/>
        </w:rPr>
        <w:t>%。</w:t>
      </w:r>
    </w:p>
    <w:p w14:paraId="69549482">
      <w:pPr>
        <w:spacing w:before="252" w:line="364" w:lineRule="auto"/>
        <w:ind w:left="23" w:right="102" w:firstLine="648"/>
        <w:jc w:val="both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</w:rPr>
        <w:t>组织对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个项目开展了部门绩效评</w:t>
      </w:r>
      <w:r>
        <w:rPr>
          <w:rFonts w:hint="eastAsia" w:ascii="仿宋" w:hAnsi="仿宋" w:eastAsia="仿宋" w:cs="仿宋"/>
          <w:spacing w:val="9"/>
          <w:sz w:val="31"/>
          <w:szCs w:val="31"/>
        </w:rPr>
        <w:t>价，涉及一般公共预算支出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9"/>
          <w:sz w:val="31"/>
          <w:szCs w:val="31"/>
        </w:rPr>
        <w:t>万元，政府性基金预算支出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14"/>
          <w:sz w:val="31"/>
          <w:szCs w:val="31"/>
        </w:rPr>
        <w:t xml:space="preserve"> 万元，国有资本经营预算支出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万元。</w:t>
      </w:r>
    </w:p>
    <w:p w14:paraId="1F69059D">
      <w:pPr>
        <w:spacing w:before="253" w:line="356" w:lineRule="auto"/>
        <w:ind w:left="36" w:right="22" w:firstLine="622"/>
        <w:rPr>
          <w:rFonts w:hint="eastAsia" w:ascii="仿宋" w:hAnsi="仿宋" w:eastAsia="仿宋" w:cs="仿宋"/>
          <w:spacing w:val="6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组织对本部门开展整体支出绩效评价，涉及一般公共预</w:t>
      </w:r>
      <w:r>
        <w:rPr>
          <w:rFonts w:hint="eastAsia"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6"/>
          <w:sz w:val="31"/>
          <w:szCs w:val="31"/>
        </w:rPr>
        <w:t>算支出</w:t>
      </w:r>
      <w:r>
        <w:rPr>
          <w:rFonts w:hint="eastAsia" w:ascii="仿宋" w:hAnsi="仿宋" w:eastAsia="仿宋" w:cs="仿宋"/>
          <w:spacing w:val="-65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万元，政府性基金预算支出</w:t>
      </w:r>
      <w:r>
        <w:rPr>
          <w:rFonts w:hint="eastAsia" w:ascii="仿宋" w:hAnsi="仿宋" w:eastAsia="仿宋" w:cs="仿宋"/>
          <w:spacing w:val="-63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万元。</w:t>
      </w:r>
    </w:p>
    <w:p w14:paraId="69D1512E">
      <w:pPr>
        <w:spacing w:before="253" w:line="356" w:lineRule="auto"/>
        <w:ind w:left="36" w:right="22" w:firstLine="622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项目绩效自评结果。</w:t>
      </w:r>
    </w:p>
    <w:p w14:paraId="45E05BFD">
      <w:pPr>
        <w:spacing w:before="49" w:line="366" w:lineRule="auto"/>
        <w:ind w:left="21" w:right="107" w:firstLine="641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项目绩效自评情况：根据年初设定的绩效目</w:t>
      </w:r>
      <w:r>
        <w:rPr>
          <w:rFonts w:hint="eastAsia" w:ascii="仿宋" w:hAnsi="仿宋" w:eastAsia="仿宋" w:cs="仿宋"/>
          <w:spacing w:val="7"/>
          <w:sz w:val="31"/>
          <w:szCs w:val="31"/>
        </w:rPr>
        <w:t>标，项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7"/>
          <w:sz w:val="31"/>
          <w:szCs w:val="31"/>
        </w:rPr>
        <w:t>目绩效自评得分为</w:t>
      </w:r>
      <w:r>
        <w:rPr>
          <w:rFonts w:hint="eastAsia" w:ascii="仿宋" w:hAnsi="仿宋" w:eastAsia="仿宋" w:cs="仿宋"/>
          <w:spacing w:val="-64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7"/>
          <w:sz w:val="31"/>
          <w:szCs w:val="31"/>
        </w:rPr>
        <w:t>分。项目全年预算数为</w:t>
      </w:r>
      <w:r>
        <w:rPr>
          <w:rFonts w:hint="eastAsia" w:ascii="仿宋" w:hAnsi="仿宋" w:eastAsia="仿宋" w:cs="仿宋"/>
          <w:spacing w:val="-64"/>
          <w:sz w:val="31"/>
          <w:szCs w:val="31"/>
          <w:lang w:val="en-US" w:eastAsia="zh-CN"/>
        </w:rPr>
        <w:t>420.65</w:t>
      </w:r>
      <w:r>
        <w:rPr>
          <w:rFonts w:hint="eastAsia"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7"/>
          <w:sz w:val="31"/>
          <w:szCs w:val="31"/>
        </w:rPr>
        <w:t>万元，执行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数为</w:t>
      </w:r>
      <w:r>
        <w:rPr>
          <w:rFonts w:hint="eastAsia" w:ascii="仿宋" w:hAnsi="仿宋" w:eastAsia="仿宋" w:cs="仿宋"/>
          <w:spacing w:val="-65"/>
          <w:sz w:val="31"/>
          <w:szCs w:val="31"/>
          <w:lang w:val="en-US" w:eastAsia="zh-CN"/>
        </w:rPr>
        <w:t>420.65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万元，</w:t>
      </w:r>
      <w:bookmarkStart w:id="11" w:name="OLE_LINK14"/>
      <w:r>
        <w:rPr>
          <w:rFonts w:hint="eastAsia" w:ascii="仿宋" w:hAnsi="仿宋" w:eastAsia="仿宋" w:cs="仿宋"/>
          <w:spacing w:val="8"/>
          <w:sz w:val="31"/>
          <w:szCs w:val="31"/>
        </w:rPr>
        <w:t>完成预算的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8"/>
          <w:sz w:val="31"/>
          <w:szCs w:val="31"/>
        </w:rPr>
        <w:t>%</w:t>
      </w:r>
      <w:bookmarkEnd w:id="11"/>
      <w:r>
        <w:rPr>
          <w:rFonts w:hint="eastAsia" w:ascii="仿宋" w:hAnsi="仿宋" w:eastAsia="仿宋" w:cs="仿宋"/>
          <w:spacing w:val="8"/>
          <w:sz w:val="31"/>
          <w:szCs w:val="31"/>
        </w:rPr>
        <w:t>。项目绩效目标完成情况：一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救灾物资和防汛物资管理事物，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完成预算的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27.03</w:t>
      </w:r>
      <w:r>
        <w:rPr>
          <w:rFonts w:hint="eastAsia" w:ascii="仿宋" w:hAnsi="仿宋" w:eastAsia="仿宋" w:cs="仿宋"/>
          <w:spacing w:val="8"/>
          <w:sz w:val="31"/>
          <w:szCs w:val="31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；二是</w:t>
      </w:r>
      <w:r>
        <w:rPr>
          <w:rFonts w:hint="eastAsia" w:ascii="仿宋" w:hAnsi="仿宋" w:eastAsia="仿宋" w:cs="仿宋"/>
          <w:spacing w:val="-87"/>
          <w:sz w:val="31"/>
          <w:szCs w:val="31"/>
        </w:rPr>
        <w:t>粮食品牌建设</w:t>
      </w:r>
      <w:r>
        <w:rPr>
          <w:rFonts w:hint="eastAsia" w:ascii="仿宋" w:hAnsi="仿宋" w:eastAsia="仿宋" w:cs="仿宋"/>
          <w:spacing w:val="-87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-87"/>
          <w:sz w:val="31"/>
          <w:szCs w:val="31"/>
          <w:lang w:val="en-US" w:eastAsia="zh-CN"/>
        </w:rPr>
        <w:t>完成预算的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 xml:space="preserve">35.86%。三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粮油品质调查与检测，完成预算的24.76%；四 粮食综合事物管理，完成预算的51.93%。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下一步改进措施：一是继续执行预算安排；二是</w:t>
      </w:r>
      <w:r>
        <w:rPr>
          <w:rFonts w:hint="eastAsia"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完成单位日常项目管理工作，积极发挥项目资金的作用。</w:t>
      </w:r>
    </w:p>
    <w:p w14:paraId="3F54D865">
      <w:pPr>
        <w:spacing w:before="49" w:line="224" w:lineRule="auto"/>
        <w:ind w:left="663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3"/>
          <w:sz w:val="31"/>
          <w:szCs w:val="31"/>
        </w:rPr>
        <w:t>项目绩效</w:t>
      </w:r>
      <w:r>
        <w:rPr>
          <w:rFonts w:hint="eastAsia" w:ascii="仿宋" w:hAnsi="仿宋" w:eastAsia="仿宋" w:cs="仿宋"/>
          <w:sz w:val="32"/>
          <w:szCs w:val="32"/>
        </w:rPr>
        <w:t>自评率为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pacing w:val="-3"/>
          <w:sz w:val="31"/>
          <w:szCs w:val="31"/>
        </w:rPr>
        <w:t>。</w:t>
      </w:r>
    </w:p>
    <w:p w14:paraId="5AE8CCE4">
      <w:pPr>
        <w:numPr>
          <w:ilvl w:val="0"/>
          <w:numId w:val="3"/>
        </w:numPr>
        <w:spacing w:before="250" w:line="364" w:lineRule="auto"/>
        <w:ind w:left="34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部门评价结果。</w:t>
      </w:r>
    </w:p>
    <w:p w14:paraId="6922999F">
      <w:pPr>
        <w:pStyle w:val="5"/>
        <w:spacing w:line="339" w:lineRule="auto"/>
        <w:ind w:firstLine="960" w:firstLineChars="300"/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我部门绩效评价结果应用情况如下: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部门进行了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整体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支出绩效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评价和全部二级项目绩效评价，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保障机关正常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运转和完成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各项工作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加强项目资金管理和监督，规范项目资金使用，提高资金使用效率，制定资金管理制度，做到专款专用，资金及时拨付到位，严禁虚报、瞒报、挤占、挪用。全部按照管理办法实行，无违反规定的行为发生。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 xml:space="preserve">    2、2023年项目资金预决算信息按照政府及财政部门要求，及时在德惠市政府网站上分别公开预算信息、决算信息。</w:t>
      </w:r>
    </w:p>
    <w:p w14:paraId="75D6C2A1">
      <w:pPr>
        <w:pStyle w:val="5"/>
        <w:spacing w:line="339" w:lineRule="auto"/>
      </w:pPr>
    </w:p>
    <w:p w14:paraId="1AEF402B">
      <w:pPr>
        <w:spacing w:before="100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 w14:paraId="08C7DC0C">
      <w:pPr>
        <w:spacing w:before="248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一）机关运行经费执行情况说明</w:t>
      </w:r>
    </w:p>
    <w:p w14:paraId="09368703">
      <w:pPr>
        <w:spacing w:before="251" w:line="357" w:lineRule="auto"/>
        <w:ind w:left="19" w:right="170" w:firstLine="65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年度</w:t>
      </w:r>
      <w:bookmarkStart w:id="12" w:name="OLE_LINK13"/>
      <w:r>
        <w:rPr>
          <w:rFonts w:ascii="仿宋" w:hAnsi="仿宋" w:eastAsia="仿宋" w:cs="仿宋"/>
          <w:spacing w:val="7"/>
          <w:sz w:val="31"/>
          <w:szCs w:val="31"/>
        </w:rPr>
        <w:t>机关运行经费支出</w:t>
      </w:r>
      <w:bookmarkEnd w:id="12"/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33.66</w:t>
      </w:r>
      <w:r>
        <w:rPr>
          <w:rFonts w:ascii="仿宋" w:hAnsi="仿宋" w:eastAsia="仿宋" w:cs="仿宋"/>
          <w:spacing w:val="7"/>
          <w:sz w:val="31"/>
          <w:szCs w:val="31"/>
        </w:rPr>
        <w:t>万元，较</w:t>
      </w:r>
      <w:r>
        <w:rPr>
          <w:rFonts w:ascii="宋体" w:hAnsi="宋体" w:eastAsia="宋体" w:cs="宋体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年度增加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8.70</w:t>
      </w:r>
      <w:r>
        <w:rPr>
          <w:rFonts w:ascii="仿宋" w:hAnsi="仿宋" w:eastAsia="仿宋" w:cs="仿宋"/>
          <w:spacing w:val="-4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34.86</w:t>
      </w:r>
      <w:r>
        <w:rPr>
          <w:rFonts w:ascii="宋体" w:hAnsi="宋体" w:eastAsia="宋体" w:cs="宋体"/>
          <w:spacing w:val="-4"/>
          <w:sz w:val="31"/>
          <w:szCs w:val="31"/>
        </w:rPr>
        <w:t>%</w:t>
      </w:r>
      <w:r>
        <w:rPr>
          <w:rFonts w:ascii="仿宋" w:hAnsi="仿宋" w:eastAsia="仿宋" w:cs="仿宋"/>
          <w:spacing w:val="-4"/>
          <w:sz w:val="31"/>
          <w:szCs w:val="31"/>
        </w:rPr>
        <w:t>，主要是</w:t>
      </w:r>
      <w:r>
        <w:rPr>
          <w:rFonts w:ascii="仿宋" w:hAnsi="仿宋" w:eastAsia="仿宋" w:cs="仿宋"/>
          <w:spacing w:val="7"/>
          <w:sz w:val="31"/>
          <w:szCs w:val="31"/>
        </w:rPr>
        <w:t>机关运行经费支出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增加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 w14:paraId="018A5ABD"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 w14:paraId="20ED2AD4">
      <w:pPr>
        <w:spacing w:before="249" w:line="368" w:lineRule="auto"/>
        <w:ind w:left="29" w:right="24" w:firstLine="64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>年度政府采购支出总额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pacing w:val="7"/>
          <w:sz w:val="31"/>
          <w:szCs w:val="31"/>
        </w:rPr>
        <w:t>其中：政府采购货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物支出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万元、政府采购工程支出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万元、政府采购服务支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万元。授予中小企业合同金额</w:t>
      </w:r>
      <w:r>
        <w:rPr>
          <w:rFonts w:hint="eastAsia" w:ascii="仿宋" w:hAnsi="仿宋" w:eastAsia="仿宋" w:cs="仿宋"/>
          <w:spacing w:val="2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占政府采购支出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总额的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>，其中：授予小微企业合同金额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占授予中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小企业合同金额的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；货物采购授予中小企业合同金额占货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物支出金额的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，工程采购授予中小企业合同金额占工程支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，服务采购授予中小企业合同金额占服务支出金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额的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。。</w:t>
      </w:r>
    </w:p>
    <w:p w14:paraId="4C16366D"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 w14:paraId="204FCD88">
      <w:pPr>
        <w:spacing w:before="286" w:line="340" w:lineRule="auto"/>
        <w:ind w:left="21" w:firstLine="65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截至</w:t>
      </w:r>
      <w:r>
        <w:rPr>
          <w:rFonts w:hint="eastAsia"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</w:rPr>
        <w:t>2023</w:t>
      </w:r>
      <w:r>
        <w:rPr>
          <w:rFonts w:hint="eastAsia"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</w:rPr>
        <w:t>年 12 月</w:t>
      </w:r>
      <w:r>
        <w:rPr>
          <w:rFonts w:hint="eastAsia"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</w:rPr>
        <w:t>31 日，德惠市粮食和物资储备局（汇总）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共有</w:t>
      </w:r>
      <w:r>
        <w:rPr>
          <w:rFonts w:hint="eastAsia" w:ascii="仿宋" w:hAnsi="仿宋" w:eastAsia="仿宋" w:cs="仿宋"/>
          <w:spacing w:val="7"/>
          <w:sz w:val="31"/>
          <w:szCs w:val="31"/>
        </w:rPr>
        <w:t>车辆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1"/>
          <w:szCs w:val="31"/>
        </w:rPr>
        <w:t xml:space="preserve">辆，其中，副部（省）级及以上领导用车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辆、主</w:t>
      </w:r>
      <w:r>
        <w:rPr>
          <w:rFonts w:ascii="仿宋" w:hAnsi="仿宋" w:eastAsia="仿宋" w:cs="仿宋"/>
          <w:spacing w:val="8"/>
          <w:sz w:val="31"/>
          <w:szCs w:val="31"/>
        </w:rPr>
        <w:t>要负责人用车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辆、机要通信用车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辆、应急保障用车</w:t>
      </w:r>
      <w:r>
        <w:rPr>
          <w:rFonts w:hint="eastAsia" w:ascii="仿宋" w:hAnsi="仿宋" w:eastAsia="仿宋" w:cs="仿宋"/>
          <w:spacing w:val="-6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2"/>
          <w:sz w:val="31"/>
          <w:szCs w:val="31"/>
        </w:rPr>
        <w:t>辆、执法执勤用车</w:t>
      </w:r>
      <w:r>
        <w:rPr>
          <w:rFonts w:hint="eastAsia" w:ascii="仿宋" w:hAnsi="仿宋" w:eastAsia="仿宋" w:cs="仿宋"/>
          <w:spacing w:val="-6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2"/>
          <w:sz w:val="31"/>
          <w:szCs w:val="31"/>
        </w:rPr>
        <w:t>辆、特种专业技术用车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2"/>
          <w:sz w:val="31"/>
          <w:szCs w:val="31"/>
        </w:rPr>
        <w:t>辆</w:t>
      </w:r>
      <w:r>
        <w:rPr>
          <w:rFonts w:ascii="仿宋" w:hAnsi="仿宋" w:eastAsia="仿宋" w:cs="仿宋"/>
          <w:spacing w:val="11"/>
          <w:sz w:val="31"/>
          <w:szCs w:val="31"/>
        </w:rPr>
        <w:t>、离退休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干部用车</w:t>
      </w:r>
      <w:r>
        <w:rPr>
          <w:rFonts w:hint="eastAsia" w:ascii="仿宋" w:hAnsi="仿宋" w:eastAsia="仿宋" w:cs="仿宋"/>
          <w:spacing w:val="-6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辆、其他用车</w:t>
      </w:r>
      <w:r>
        <w:rPr>
          <w:rFonts w:hint="eastAsia" w:ascii="仿宋" w:hAnsi="仿宋" w:eastAsia="仿宋" w:cs="仿宋"/>
          <w:spacing w:val="-6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没有</w:t>
      </w:r>
      <w:r>
        <w:rPr>
          <w:rFonts w:ascii="仿宋" w:hAnsi="仿宋" w:eastAsia="仿宋" w:cs="仿宋"/>
          <w:spacing w:val="8"/>
          <w:sz w:val="31"/>
          <w:szCs w:val="31"/>
        </w:rPr>
        <w:t>其他用车；单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位价值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100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万元（含）以上设备（不含车辆）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台（套）。</w:t>
      </w:r>
    </w:p>
    <w:p w14:paraId="1AE3C726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7" w:h="16839"/>
          <w:pgMar w:top="1431" w:right="1774" w:bottom="1153" w:left="1785" w:header="0" w:footer="965" w:gutter="0"/>
          <w:pgNumType w:fmt="decimal"/>
          <w:cols w:space="720" w:num="1"/>
        </w:sectPr>
      </w:pPr>
    </w:p>
    <w:p w14:paraId="36B439A7">
      <w:pPr>
        <w:spacing w:before="225" w:line="443" w:lineRule="exact"/>
        <w:ind w:left="2186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 w14:paraId="74D5A632">
      <w:pPr>
        <w:pStyle w:val="5"/>
        <w:spacing w:line="315" w:lineRule="auto"/>
      </w:pPr>
    </w:p>
    <w:p w14:paraId="69434BB3">
      <w:pPr>
        <w:pStyle w:val="5"/>
        <w:spacing w:line="315" w:lineRule="auto"/>
      </w:pPr>
    </w:p>
    <w:p w14:paraId="794C68FC">
      <w:pPr>
        <w:pStyle w:val="5"/>
        <w:spacing w:line="315" w:lineRule="auto"/>
      </w:pPr>
    </w:p>
    <w:p w14:paraId="2B855442">
      <w:pPr>
        <w:spacing w:before="100" w:line="297" w:lineRule="auto"/>
        <w:ind w:left="39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 w14:paraId="02D0C250">
      <w:pPr>
        <w:spacing w:before="250" w:line="297" w:lineRule="auto"/>
        <w:ind w:left="30" w:right="1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二、上级补助收入：</w:t>
      </w:r>
      <w:r>
        <w:rPr>
          <w:rFonts w:ascii="仿宋" w:hAnsi="仿宋" w:eastAsia="仿宋" w:cs="仿宋"/>
          <w:spacing w:val="6"/>
          <w:sz w:val="31"/>
          <w:szCs w:val="31"/>
        </w:rPr>
        <w:t>指从主管部门和上级单位取得的非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财政补助收入。</w:t>
      </w:r>
    </w:p>
    <w:p w14:paraId="5179D848">
      <w:pPr>
        <w:spacing w:before="249" w:line="298" w:lineRule="auto"/>
        <w:ind w:left="44" w:right="18" w:firstLine="649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动取得的收入。</w:t>
      </w:r>
    </w:p>
    <w:p w14:paraId="62A6DEA6">
      <w:pPr>
        <w:spacing w:before="249" w:line="297" w:lineRule="auto"/>
        <w:ind w:left="44" w:right="1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四、经营收入：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动之外开展非独立核算经营活动取得的收入。</w:t>
      </w:r>
    </w:p>
    <w:p w14:paraId="27F06F68">
      <w:pPr>
        <w:spacing w:before="249" w:line="298" w:lineRule="auto"/>
        <w:ind w:left="28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五、附属单位上缴收入：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指事业单位附属独立核算单位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按照有关规定上缴的收入。</w:t>
      </w:r>
    </w:p>
    <w:p w14:paraId="5CE51683">
      <w:pPr>
        <w:spacing w:before="246" w:line="347" w:lineRule="auto"/>
        <w:ind w:left="29" w:right="1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六、其他收入：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 w14:paraId="2B753CB3">
      <w:pPr>
        <w:spacing w:before="252" w:line="322" w:lineRule="auto"/>
        <w:ind w:left="28" w:right="1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5"/>
          <w:sz w:val="31"/>
          <w:szCs w:val="31"/>
        </w:rPr>
        <w:t>指事业单位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按照预算管理要求使用非财政拨款结余弥补收支差额的金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额，以及使用专用结余安排支出的金额。</w:t>
      </w:r>
    </w:p>
    <w:p w14:paraId="32700FB5">
      <w:pPr>
        <w:spacing w:before="249" w:line="220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八、年初结转和结余：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指单位以前年度尚未完成、结转</w:t>
      </w:r>
    </w:p>
    <w:p w14:paraId="354C2B70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5949914D">
      <w:pPr>
        <w:spacing w:before="160" w:line="357" w:lineRule="auto"/>
        <w:ind w:left="46" w:right="189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到本年按有关规定用途继续使用的资金，或项目已完成等产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生的结余资金。</w:t>
      </w:r>
    </w:p>
    <w:p w14:paraId="6A11377F">
      <w:pPr>
        <w:spacing w:before="48" w:line="355" w:lineRule="auto"/>
        <w:ind w:left="32" w:right="15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九、结余分配：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指事业单位按照会计制度规定缴纳的所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得税、提取的专用结余以及转入非财政拨款结余的金额等。</w:t>
      </w:r>
    </w:p>
    <w:p w14:paraId="0F6524CB">
      <w:pPr>
        <w:spacing w:before="54" w:line="364" w:lineRule="auto"/>
        <w:ind w:left="29" w:right="15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十、年末结转和结余：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指单位按有关规定结</w:t>
      </w:r>
      <w:r>
        <w:rPr>
          <w:rFonts w:ascii="仿宋" w:hAnsi="仿宋" w:eastAsia="仿宋" w:cs="仿宋"/>
          <w:spacing w:val="6"/>
          <w:sz w:val="31"/>
          <w:szCs w:val="31"/>
        </w:rPr>
        <w:t>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以后年度继续使用的资金，或项目已完成等产生的结余资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金。</w:t>
      </w:r>
    </w:p>
    <w:p w14:paraId="5037BA3B">
      <w:pPr>
        <w:spacing w:before="39" w:line="297" w:lineRule="auto"/>
        <w:ind w:left="30" w:right="15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十一、基本支出：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 w14:paraId="0D048A4A">
      <w:pPr>
        <w:spacing w:before="250" w:line="298" w:lineRule="auto"/>
        <w:ind w:left="33" w:right="15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十二、项目支出：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 w14:paraId="1F89A2D2">
      <w:pPr>
        <w:spacing w:before="249" w:line="297" w:lineRule="auto"/>
        <w:ind w:left="44" w:right="15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十三、经营支出：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活动之外开展非独立核算经营活动发生的支出。</w:t>
      </w:r>
    </w:p>
    <w:p w14:paraId="24CBEA9F">
      <w:pPr>
        <w:spacing w:before="249" w:line="297" w:lineRule="auto"/>
        <w:ind w:left="40" w:right="15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十四、上缴上级支出：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指事业单位按照有关</w:t>
      </w:r>
      <w:r>
        <w:rPr>
          <w:rFonts w:ascii="仿宋" w:hAnsi="仿宋" w:eastAsia="仿宋" w:cs="仿宋"/>
          <w:spacing w:val="6"/>
          <w:sz w:val="31"/>
          <w:szCs w:val="31"/>
        </w:rPr>
        <w:t>规定上缴上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级单位的支出。</w:t>
      </w:r>
    </w:p>
    <w:p w14:paraId="581AF787">
      <w:pPr>
        <w:spacing w:before="251" w:line="297" w:lineRule="auto"/>
        <w:ind w:left="29" w:right="15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十五、对附属单位补助支出：</w:t>
      </w:r>
      <w:r>
        <w:rPr>
          <w:rFonts w:ascii="仿宋" w:hAnsi="仿宋" w:eastAsia="仿宋" w:cs="仿宋"/>
          <w:spacing w:val="6"/>
          <w:sz w:val="31"/>
          <w:szCs w:val="31"/>
        </w:rPr>
        <w:t>指事业单位用财政补助收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入之外的收入对附属单位补助发生的支出。</w:t>
      </w:r>
    </w:p>
    <w:p w14:paraId="1A165DB2">
      <w:pPr>
        <w:spacing w:before="252" w:line="342" w:lineRule="auto"/>
        <w:ind w:left="2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十六、“三公”经费：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</w:p>
    <w:p w14:paraId="106D3ECA"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7" w:h="16839"/>
          <w:pgMar w:top="1431" w:right="1646" w:bottom="1153" w:left="1785" w:header="0" w:footer="965" w:gutter="0"/>
          <w:pgNumType w:fmt="decimal"/>
          <w:cols w:space="720" w:num="1"/>
        </w:sectPr>
      </w:pPr>
    </w:p>
    <w:p w14:paraId="336C6481">
      <w:pPr>
        <w:spacing w:before="155" w:line="366" w:lineRule="auto"/>
        <w:ind w:left="25" w:firstLine="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 w14:paraId="68D7640F">
      <w:pPr>
        <w:spacing w:before="48" w:line="347" w:lineRule="auto"/>
        <w:ind w:left="26" w:right="9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十七、机关运行经费：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p w14:paraId="6DAF4A89">
      <w:pPr>
        <w:spacing w:before="250" w:line="322" w:lineRule="auto"/>
        <w:ind w:left="43" w:right="9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十八、</w:t>
      </w:r>
      <w:r>
        <w:rPr>
          <w:rFonts w:ascii="仿宋" w:hAnsi="仿宋" w:eastAsia="仿宋" w:cs="仿宋"/>
          <w:spacing w:val="6"/>
          <w:sz w:val="31"/>
          <w:szCs w:val="31"/>
        </w:rPr>
        <w:t>对部门使用的所有“项”级政府收支分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类科目，参照《</w:t>
      </w: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年政府收支分类科目》中的科目说明和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中央部门决算公开内容进行说明</w:t>
      </w:r>
    </w:p>
    <w:sectPr>
      <w:footerReference r:id="rId24" w:type="default"/>
      <w:pgSz w:w="11907" w:h="16839"/>
      <w:pgMar w:top="1431" w:right="1705" w:bottom="1153" w:left="1785" w:header="0" w:footer="96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B44A3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1B68C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2DDB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TaYj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gFNpi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42DDB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90BA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2DC1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UWq3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D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DsUWq3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72DC1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2DC7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9543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0rZAf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G0rZAf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9543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44ED6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6E49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bPOf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2bPOf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C6E49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DEC76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F02C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ukAk3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BukAk3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F02C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3EDC3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F07C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DjMWj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DDG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DjMWj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F07C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9B13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C337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bcD8L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PbcD8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C337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8A7F9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9079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GF8XP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GF8XP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9079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7171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92F7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e6z9ne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Pe6z9n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292F7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9701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8DC9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opvWg3AIAACY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8DC9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A6331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bookmarkStart w:id="13" w:name="_GoBack"/>
    <w:bookmarkEnd w:id="13"/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F8C8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VT6jzeAgAAJg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BVT6jz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F8C8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F954A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D52E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Xjstz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DXjstz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4D52E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5163B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6681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PcjHb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GPcjHb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76681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FA57C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F506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ibv1P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Nibv1P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F506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89579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E3DE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6kgfn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I6kgfn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E3DE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A684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5CA5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9f0j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Nn9f0j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5CA5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DB94E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2E4B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/CQeLeAgAAJg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I/CQe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2E4B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60D3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8C87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sVy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gCSSNFDx&#10;+29f77//vP/xBcEeCLTVdgxxCw2RbneldtA2/b6FTc97V5nG/wMjBH7Auj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1mxXI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8C87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4F46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4B3384"/>
    <w:multiLevelType w:val="singleLevel"/>
    <w:tmpl w:val="B54B33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9A5FF7"/>
    <w:multiLevelType w:val="singleLevel"/>
    <w:tmpl w:val="0E9A5FF7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0EAF4CA0"/>
    <w:multiLevelType w:val="singleLevel"/>
    <w:tmpl w:val="0EAF4C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FmMGNlMGY5OGFhOTAyODRiN2Y3ZTUzNDU5MDgwNGQifQ=="/>
  </w:docVars>
  <w:rsids>
    <w:rsidRoot w:val="00000000"/>
    <w:rsid w:val="023A777F"/>
    <w:rsid w:val="06672FAB"/>
    <w:rsid w:val="0A2D650A"/>
    <w:rsid w:val="0B35399D"/>
    <w:rsid w:val="0BF5492D"/>
    <w:rsid w:val="0C572DDC"/>
    <w:rsid w:val="0E286250"/>
    <w:rsid w:val="0EF141A6"/>
    <w:rsid w:val="0FDD2D4F"/>
    <w:rsid w:val="11A976A8"/>
    <w:rsid w:val="17136D81"/>
    <w:rsid w:val="182C4B8E"/>
    <w:rsid w:val="19F636A6"/>
    <w:rsid w:val="1A340E83"/>
    <w:rsid w:val="1E733115"/>
    <w:rsid w:val="20A90BB9"/>
    <w:rsid w:val="22FF140D"/>
    <w:rsid w:val="27520B3E"/>
    <w:rsid w:val="286F6778"/>
    <w:rsid w:val="28DC0413"/>
    <w:rsid w:val="2EA34064"/>
    <w:rsid w:val="2F612793"/>
    <w:rsid w:val="331812CD"/>
    <w:rsid w:val="33DA0A02"/>
    <w:rsid w:val="35246175"/>
    <w:rsid w:val="35657300"/>
    <w:rsid w:val="35B7522E"/>
    <w:rsid w:val="365503E4"/>
    <w:rsid w:val="375E2899"/>
    <w:rsid w:val="37980099"/>
    <w:rsid w:val="37BA3A0C"/>
    <w:rsid w:val="37E56DDC"/>
    <w:rsid w:val="39693679"/>
    <w:rsid w:val="3C06611D"/>
    <w:rsid w:val="3D422253"/>
    <w:rsid w:val="40154CEE"/>
    <w:rsid w:val="406C796F"/>
    <w:rsid w:val="409E016F"/>
    <w:rsid w:val="42643C06"/>
    <w:rsid w:val="42D63FA6"/>
    <w:rsid w:val="445B2F0D"/>
    <w:rsid w:val="44A83877"/>
    <w:rsid w:val="45654D24"/>
    <w:rsid w:val="463D4C33"/>
    <w:rsid w:val="46421419"/>
    <w:rsid w:val="475C594A"/>
    <w:rsid w:val="479A2CE1"/>
    <w:rsid w:val="482F4EFF"/>
    <w:rsid w:val="4954779C"/>
    <w:rsid w:val="4A0E396E"/>
    <w:rsid w:val="4A93645E"/>
    <w:rsid w:val="4D2B55C7"/>
    <w:rsid w:val="511731DD"/>
    <w:rsid w:val="51175867"/>
    <w:rsid w:val="51583D23"/>
    <w:rsid w:val="54370568"/>
    <w:rsid w:val="55854D7D"/>
    <w:rsid w:val="55C30F16"/>
    <w:rsid w:val="55CD79C5"/>
    <w:rsid w:val="564F013D"/>
    <w:rsid w:val="566E162A"/>
    <w:rsid w:val="585363D9"/>
    <w:rsid w:val="59282D9D"/>
    <w:rsid w:val="5A901AAA"/>
    <w:rsid w:val="5A9D5D69"/>
    <w:rsid w:val="5AF50835"/>
    <w:rsid w:val="5B1F11DD"/>
    <w:rsid w:val="5B451222"/>
    <w:rsid w:val="5BEF4AB3"/>
    <w:rsid w:val="5EAD0F60"/>
    <w:rsid w:val="5F042A70"/>
    <w:rsid w:val="5F404E0E"/>
    <w:rsid w:val="60E00BE1"/>
    <w:rsid w:val="62C258A1"/>
    <w:rsid w:val="6332172E"/>
    <w:rsid w:val="634C7460"/>
    <w:rsid w:val="65815AE7"/>
    <w:rsid w:val="67D9647C"/>
    <w:rsid w:val="688024F5"/>
    <w:rsid w:val="68944E05"/>
    <w:rsid w:val="68A72703"/>
    <w:rsid w:val="6A776E8C"/>
    <w:rsid w:val="6C8C1272"/>
    <w:rsid w:val="6F5011ED"/>
    <w:rsid w:val="704D6F44"/>
    <w:rsid w:val="72261FA8"/>
    <w:rsid w:val="75307CBA"/>
    <w:rsid w:val="7591493E"/>
    <w:rsid w:val="75E2318F"/>
    <w:rsid w:val="772C6C06"/>
    <w:rsid w:val="7878159A"/>
    <w:rsid w:val="7B0B6564"/>
    <w:rsid w:val="7C3A0345"/>
    <w:rsid w:val="7D400810"/>
    <w:rsid w:val="7E926217"/>
    <w:rsid w:val="7EF93803"/>
    <w:rsid w:val="7FFA2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qFormat/>
    <w:uiPriority w:val="0"/>
    <w:pPr>
      <w:ind w:left="600"/>
      <w:jc w:val="left"/>
    </w:pPr>
    <w:rPr>
      <w:i/>
      <w:iCs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image" Target="media/image13.png"/><Relationship Id="rId37" Type="http://schemas.openxmlformats.org/officeDocument/2006/relationships/image" Target="media/image12.png"/><Relationship Id="rId36" Type="http://schemas.openxmlformats.org/officeDocument/2006/relationships/image" Target="media/image11.png"/><Relationship Id="rId35" Type="http://schemas.openxmlformats.org/officeDocument/2006/relationships/image" Target="media/image10.png"/><Relationship Id="rId34" Type="http://schemas.openxmlformats.org/officeDocument/2006/relationships/image" Target="media/image9.png"/><Relationship Id="rId33" Type="http://schemas.openxmlformats.org/officeDocument/2006/relationships/image" Target="media/image8.png"/><Relationship Id="rId32" Type="http://schemas.openxmlformats.org/officeDocument/2006/relationships/image" Target="media/image7.png"/><Relationship Id="rId31" Type="http://schemas.openxmlformats.org/officeDocument/2006/relationships/image" Target="media/image6.png"/><Relationship Id="rId30" Type="http://schemas.openxmlformats.org/officeDocument/2006/relationships/image" Target="media/image5.png"/><Relationship Id="rId3" Type="http://schemas.openxmlformats.org/officeDocument/2006/relationships/footnotes" Target="footnotes.xml"/><Relationship Id="rId29" Type="http://schemas.openxmlformats.org/officeDocument/2006/relationships/image" Target="media/image4.png"/><Relationship Id="rId28" Type="http://schemas.openxmlformats.org/officeDocument/2006/relationships/image" Target="media/image3.png"/><Relationship Id="rId27" Type="http://schemas.openxmlformats.org/officeDocument/2006/relationships/image" Target="media/image2.png"/><Relationship Id="rId26" Type="http://schemas.openxmlformats.org/officeDocument/2006/relationships/image" Target="media/image1.png"/><Relationship Id="rId25" Type="http://schemas.openxmlformats.org/officeDocument/2006/relationships/theme" Target="theme/theme1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6962</Words>
  <Characters>7538</Characters>
  <TotalTime>3</TotalTime>
  <ScaleCrop>false</ScaleCrop>
  <LinksUpToDate>false</LinksUpToDate>
  <CharactersWithSpaces>7870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伸手为你挡</cp:lastModifiedBy>
  <dcterms:modified xsi:type="dcterms:W3CDTF">2024-09-24T08:22:43Z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2052-12.1.0.18276</vt:lpwstr>
  </property>
  <property fmtid="{D5CDD505-2E9C-101B-9397-08002B2CF9AE}" pid="5" name="ICV">
    <vt:lpwstr>FBF1D15304C0408A931FD05E25098327_13</vt:lpwstr>
  </property>
</Properties>
</file>