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2</w:t>
      </w:r>
    </w:p>
    <w:p>
      <w:pPr>
        <w:spacing w:line="240" w:lineRule="exact"/>
        <w:jc w:val="left"/>
        <w:rPr>
          <w:rFonts w:ascii="黑体" w:hAnsi="黑体" w:eastAsia="黑体" w:cs="仿宋"/>
          <w:sz w:val="32"/>
          <w:szCs w:val="32"/>
        </w:rPr>
      </w:pPr>
    </w:p>
    <w:p>
      <w:pPr>
        <w:tabs>
          <w:tab w:val="left" w:pos="2806"/>
        </w:tabs>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废止的行政规范性文件目录</w:t>
      </w:r>
      <w:bookmarkEnd w:id="0"/>
    </w:p>
    <w:tbl>
      <w:tblPr>
        <w:tblStyle w:val="3"/>
        <w:tblpPr w:leftFromText="180" w:rightFromText="180" w:vertAnchor="text" w:horzAnchor="page" w:tblpX="1481" w:tblpY="317"/>
        <w:tblW w:w="9239" w:type="dxa"/>
        <w:tblInd w:w="0" w:type="dxa"/>
        <w:tblLayout w:type="fixed"/>
        <w:tblCellMar>
          <w:top w:w="0" w:type="dxa"/>
          <w:left w:w="15" w:type="dxa"/>
          <w:bottom w:w="0" w:type="dxa"/>
          <w:right w:w="15" w:type="dxa"/>
        </w:tblCellMar>
      </w:tblPr>
      <w:tblGrid>
        <w:gridCol w:w="580"/>
        <w:gridCol w:w="6239"/>
        <w:gridCol w:w="2420"/>
      </w:tblGrid>
      <w:tr>
        <w:tblPrEx>
          <w:tblCellMar>
            <w:top w:w="0" w:type="dxa"/>
            <w:left w:w="15" w:type="dxa"/>
            <w:bottom w:w="0" w:type="dxa"/>
            <w:right w:w="15" w:type="dxa"/>
          </w:tblCellMar>
        </w:tblPrEx>
        <w:trPr>
          <w:cantSplit/>
          <w:trHeight w:val="832" w:hRule="exac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宋体" w:eastAsia="仿宋_GB2312" w:cs="Arial"/>
                <w:b/>
                <w:snapToGrid w:val="0"/>
                <w:color w:val="000000"/>
                <w:kern w:val="0"/>
                <w:sz w:val="28"/>
                <w:szCs w:val="28"/>
              </w:rPr>
            </w:pPr>
            <w:r>
              <w:rPr>
                <w:rFonts w:hint="eastAsia" w:ascii="仿宋_GB2312" w:hAnsi="宋体" w:eastAsia="仿宋_GB2312" w:cs="宋体"/>
                <w:b/>
                <w:snapToGrid w:val="0"/>
                <w:color w:val="000000"/>
                <w:kern w:val="0"/>
                <w:sz w:val="28"/>
                <w:szCs w:val="28"/>
              </w:rPr>
              <w:t>序号</w:t>
            </w:r>
          </w:p>
        </w:tc>
        <w:tc>
          <w:tcPr>
            <w:tcW w:w="6239" w:type="dxa"/>
            <w:tcBorders>
              <w:top w:val="single" w:color="000000" w:sz="4" w:space="0"/>
              <w:left w:val="nil"/>
              <w:bottom w:val="single" w:color="000000" w:sz="4" w:space="0"/>
              <w:right w:val="single" w:color="000000" w:sz="4" w:space="0"/>
            </w:tcBorders>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宋体" w:eastAsia="仿宋_GB2312" w:cs="Arial"/>
                <w:b/>
                <w:snapToGrid w:val="0"/>
                <w:color w:val="000000"/>
                <w:kern w:val="0"/>
                <w:sz w:val="28"/>
                <w:szCs w:val="28"/>
              </w:rPr>
            </w:pPr>
            <w:r>
              <w:rPr>
                <w:rFonts w:hint="eastAsia" w:ascii="仿宋_GB2312" w:hAnsi="宋体" w:eastAsia="仿宋_GB2312" w:cs="微软雅黑"/>
                <w:b/>
                <w:snapToGrid w:val="0"/>
                <w:color w:val="000000"/>
                <w:kern w:val="0"/>
                <w:sz w:val="28"/>
                <w:szCs w:val="28"/>
              </w:rPr>
              <w:t>文件标题</w:t>
            </w:r>
          </w:p>
        </w:tc>
        <w:tc>
          <w:tcPr>
            <w:tcW w:w="2420" w:type="dxa"/>
            <w:tcBorders>
              <w:top w:val="single" w:color="000000" w:sz="4" w:space="0"/>
              <w:left w:val="nil"/>
              <w:bottom w:val="single" w:color="000000" w:sz="4" w:space="0"/>
              <w:right w:val="single" w:color="000000" w:sz="4" w:space="0"/>
            </w:tcBorders>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宋体" w:eastAsia="仿宋_GB2312" w:cs="Arial"/>
                <w:b/>
                <w:snapToGrid w:val="0"/>
                <w:color w:val="000000"/>
                <w:kern w:val="0"/>
                <w:sz w:val="28"/>
                <w:szCs w:val="28"/>
              </w:rPr>
            </w:pPr>
            <w:r>
              <w:rPr>
                <w:rFonts w:hint="eastAsia" w:ascii="仿宋_GB2312" w:hAnsi="宋体" w:eastAsia="仿宋_GB2312" w:cs="微软雅黑"/>
                <w:b/>
                <w:snapToGrid w:val="0"/>
                <w:color w:val="000000"/>
                <w:kern w:val="0"/>
                <w:sz w:val="28"/>
                <w:szCs w:val="28"/>
              </w:rPr>
              <w:t>文号</w:t>
            </w:r>
          </w:p>
        </w:tc>
      </w:tr>
      <w:tr>
        <w:tblPrEx>
          <w:tblCellMar>
            <w:top w:w="0" w:type="dxa"/>
            <w:left w:w="15" w:type="dxa"/>
            <w:bottom w:w="0" w:type="dxa"/>
            <w:right w:w="15" w:type="dxa"/>
          </w:tblCellMar>
        </w:tblPrEx>
        <w:trPr>
          <w:cantSplit/>
          <w:trHeight w:val="718" w:hRule="exac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8"/>
                <w:szCs w:val="28"/>
              </w:rPr>
            </w:pPr>
            <w:r>
              <w:rPr>
                <w:rFonts w:hint="eastAsia" w:ascii="仿宋_GB2312" w:eastAsia="仿宋_GB2312" w:cs="Arial"/>
                <w:snapToGrid w:val="0"/>
                <w:color w:val="000000"/>
                <w:kern w:val="0"/>
                <w:sz w:val="28"/>
                <w:szCs w:val="28"/>
              </w:rPr>
              <w:t>1</w:t>
            </w:r>
          </w:p>
        </w:tc>
        <w:tc>
          <w:tcPr>
            <w:tcW w:w="6239" w:type="dxa"/>
            <w:tcBorders>
              <w:top w:val="single" w:color="000000" w:sz="4" w:space="0"/>
              <w:left w:val="nil"/>
              <w:bottom w:val="single" w:color="000000" w:sz="4" w:space="0"/>
              <w:right w:val="single" w:color="000000" w:sz="4" w:space="0"/>
            </w:tcBorders>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szCs w:val="28"/>
              </w:rPr>
            </w:pPr>
            <w:r>
              <w:rPr>
                <w:rFonts w:hint="eastAsia" w:ascii="仿宋_GB2312" w:hAnsi="仿宋" w:eastAsia="仿宋_GB2312" w:cs="Arial"/>
                <w:snapToGrid w:val="0"/>
                <w:color w:val="000000"/>
                <w:kern w:val="0"/>
                <w:sz w:val="24"/>
                <w:szCs w:val="28"/>
              </w:rPr>
              <w:t>《德惠市人民政府办公室关于印发德惠市新型职业农民认定管理办法的通知》</w:t>
            </w:r>
          </w:p>
        </w:tc>
        <w:tc>
          <w:tcPr>
            <w:tcW w:w="2420" w:type="dxa"/>
            <w:tcBorders>
              <w:top w:val="single" w:color="000000" w:sz="4" w:space="0"/>
              <w:left w:val="nil"/>
              <w:bottom w:val="single" w:color="000000" w:sz="4" w:space="0"/>
              <w:right w:val="single" w:color="000000" w:sz="4" w:space="0"/>
            </w:tcBorders>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szCs w:val="28"/>
              </w:rPr>
            </w:pPr>
            <w:r>
              <w:rPr>
                <w:rFonts w:hint="eastAsia" w:ascii="仿宋_GB2312" w:hAnsi="仿宋" w:eastAsia="仿宋_GB2312" w:cs="Arial"/>
                <w:snapToGrid w:val="0"/>
                <w:color w:val="000000"/>
                <w:kern w:val="0"/>
                <w:sz w:val="24"/>
                <w:szCs w:val="28"/>
              </w:rPr>
              <w:t>德府办发〔2016〕14号</w:t>
            </w:r>
          </w:p>
        </w:tc>
      </w:tr>
      <w:tr>
        <w:tblPrEx>
          <w:tblCellMar>
            <w:top w:w="0" w:type="dxa"/>
            <w:left w:w="15" w:type="dxa"/>
            <w:bottom w:w="0" w:type="dxa"/>
            <w:right w:w="15" w:type="dxa"/>
          </w:tblCellMar>
        </w:tblPrEx>
        <w:trPr>
          <w:cantSplit/>
          <w:trHeight w:val="744" w:hRule="exac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8"/>
                <w:szCs w:val="28"/>
              </w:rPr>
            </w:pPr>
            <w:r>
              <w:rPr>
                <w:rFonts w:hint="eastAsia" w:ascii="仿宋_GB2312" w:eastAsia="仿宋_GB2312" w:cs="Arial"/>
                <w:snapToGrid w:val="0"/>
                <w:color w:val="000000"/>
                <w:kern w:val="0"/>
                <w:sz w:val="28"/>
                <w:szCs w:val="28"/>
              </w:rPr>
              <w:t>2</w:t>
            </w:r>
          </w:p>
        </w:tc>
        <w:tc>
          <w:tcPr>
            <w:tcW w:w="6239" w:type="dxa"/>
            <w:tcBorders>
              <w:top w:val="single" w:color="000000" w:sz="4" w:space="0"/>
              <w:left w:val="nil"/>
              <w:bottom w:val="single" w:color="000000" w:sz="4" w:space="0"/>
              <w:right w:val="single" w:color="000000" w:sz="4" w:space="0"/>
            </w:tcBorders>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szCs w:val="28"/>
              </w:rPr>
            </w:pPr>
            <w:r>
              <w:rPr>
                <w:rFonts w:hint="eastAsia" w:ascii="仿宋_GB2312" w:hAnsi="仿宋" w:eastAsia="仿宋_GB2312" w:cs="Arial"/>
                <w:snapToGrid w:val="0"/>
                <w:color w:val="000000"/>
                <w:kern w:val="0"/>
                <w:sz w:val="24"/>
                <w:szCs w:val="28"/>
              </w:rPr>
              <w:t>《关于印发&lt;德惠市加快推进棚膜蔬菜产业发展的实施意见&gt;的通知》</w:t>
            </w:r>
          </w:p>
        </w:tc>
        <w:tc>
          <w:tcPr>
            <w:tcW w:w="2420" w:type="dxa"/>
            <w:tcBorders>
              <w:top w:val="single" w:color="000000" w:sz="4" w:space="0"/>
              <w:left w:val="nil"/>
              <w:bottom w:val="single" w:color="000000" w:sz="4" w:space="0"/>
              <w:right w:val="single" w:color="000000" w:sz="4" w:space="0"/>
            </w:tcBorders>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szCs w:val="28"/>
              </w:rPr>
            </w:pPr>
            <w:r>
              <w:rPr>
                <w:rFonts w:hint="eastAsia" w:ascii="仿宋_GB2312" w:hAnsi="仿宋" w:eastAsia="仿宋_GB2312" w:cs="Arial"/>
                <w:snapToGrid w:val="0"/>
                <w:color w:val="000000"/>
                <w:kern w:val="0"/>
                <w:sz w:val="24"/>
                <w:szCs w:val="28"/>
              </w:rPr>
              <w:t>德府发〔2010〕12号</w:t>
            </w:r>
          </w:p>
        </w:tc>
      </w:tr>
    </w:tbl>
    <w:p>
      <w:pPr>
        <w:tabs>
          <w:tab w:val="left" w:pos="3480"/>
        </w:tabs>
        <w:rPr>
          <w:rFonts w:hint="eastAsia" w:ascii="黑体" w:eastAsia="等线"/>
          <w:sz w:val="24"/>
        </w:rPr>
      </w:pPr>
    </w:p>
    <w:p>
      <w:pPr>
        <w:rPr>
          <w:rFonts w:ascii="黑体" w:eastAsia="等线"/>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77E370E2"/>
    <w:rsid w:val="77E3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2023-07-27T08:18:00Z</dcterms:created>
  <dc:creator>lenovo</dc:creator>
  <cp:lastModifiedBy>lenovo</cp:lastModifiedBy>
  <dcterms:modified xsi:type="dcterms:W3CDTF">2023-07-27T08:19:01Z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02223A6C7D824542B3929EC0D5657B1D_11</vt:lpwstr>
  </property>
</Properties>
</file>