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86" w:rsidRPr="00B41B87" w:rsidRDefault="00793886">
      <w:pPr>
        <w:rPr>
          <w:sz w:val="28"/>
        </w:rPr>
      </w:pPr>
    </w:p>
    <w:p w:rsidR="00793886" w:rsidRPr="00B41B87" w:rsidRDefault="00793886">
      <w:pPr>
        <w:rPr>
          <w:sz w:val="28"/>
        </w:rPr>
      </w:pPr>
    </w:p>
    <w:p w:rsidR="00793886" w:rsidRPr="00B41B87" w:rsidRDefault="00793886">
      <w:pPr>
        <w:rPr>
          <w:sz w:val="28"/>
        </w:rPr>
      </w:pPr>
    </w:p>
    <w:p w:rsidR="00793886" w:rsidRPr="00B41B87" w:rsidRDefault="00793886">
      <w:pPr>
        <w:rPr>
          <w:sz w:val="28"/>
        </w:rPr>
      </w:pPr>
    </w:p>
    <w:p w:rsidR="00793886" w:rsidRPr="00B41B87" w:rsidRDefault="00793886">
      <w:pPr>
        <w:rPr>
          <w:sz w:val="28"/>
        </w:rPr>
      </w:pPr>
    </w:p>
    <w:p w:rsidR="00793886" w:rsidRPr="00B41B87" w:rsidRDefault="00793886">
      <w:pPr>
        <w:rPr>
          <w:sz w:val="28"/>
        </w:rPr>
      </w:pPr>
    </w:p>
    <w:p w:rsidR="005575B2" w:rsidRPr="00B41B87" w:rsidRDefault="00793886" w:rsidP="00793886">
      <w:pPr>
        <w:jc w:val="center"/>
        <w:rPr>
          <w:sz w:val="28"/>
        </w:rPr>
      </w:pPr>
      <w:r w:rsidRPr="00B41B87">
        <w:rPr>
          <w:rFonts w:hint="eastAsia"/>
          <w:sz w:val="28"/>
        </w:rPr>
        <w:t>吉林省德龙科技环保有限公司</w:t>
      </w:r>
    </w:p>
    <w:p w:rsidR="00793886" w:rsidRPr="00B41B87" w:rsidRDefault="00793886" w:rsidP="00793886">
      <w:pPr>
        <w:jc w:val="center"/>
        <w:rPr>
          <w:sz w:val="28"/>
        </w:rPr>
      </w:pPr>
    </w:p>
    <w:p w:rsidR="00793886" w:rsidRPr="00B41B87" w:rsidRDefault="00E80401" w:rsidP="00793886">
      <w:pPr>
        <w:jc w:val="center"/>
        <w:rPr>
          <w:sz w:val="28"/>
        </w:rPr>
      </w:pPr>
      <w:r>
        <w:rPr>
          <w:rFonts w:hint="eastAsia"/>
          <w:sz w:val="28"/>
        </w:rPr>
        <w:t>土壤</w:t>
      </w:r>
      <w:r w:rsidRPr="00E80401">
        <w:rPr>
          <w:rFonts w:asciiTheme="minorEastAsia" w:hAnsiTheme="minorEastAsia" w:hint="eastAsia"/>
          <w:sz w:val="28"/>
        </w:rPr>
        <w:t>、</w:t>
      </w:r>
      <w:r w:rsidR="00793886" w:rsidRPr="00B41B87">
        <w:rPr>
          <w:rFonts w:hint="eastAsia"/>
          <w:sz w:val="28"/>
        </w:rPr>
        <w:t>地下水自行监测方案</w:t>
      </w:r>
    </w:p>
    <w:p w:rsidR="00AC53BC" w:rsidRPr="00B41B87" w:rsidRDefault="00AC53BC" w:rsidP="00793886">
      <w:pPr>
        <w:jc w:val="center"/>
        <w:rPr>
          <w:sz w:val="28"/>
        </w:rPr>
      </w:pPr>
    </w:p>
    <w:p w:rsidR="00AC53BC" w:rsidRPr="00B41B87" w:rsidRDefault="00AC53BC" w:rsidP="00793886">
      <w:pPr>
        <w:jc w:val="center"/>
        <w:rPr>
          <w:sz w:val="28"/>
        </w:rPr>
      </w:pPr>
    </w:p>
    <w:p w:rsidR="00AC53BC" w:rsidRPr="00B41B87" w:rsidRDefault="00AC53BC" w:rsidP="00793886">
      <w:pPr>
        <w:jc w:val="center"/>
        <w:rPr>
          <w:sz w:val="28"/>
        </w:rPr>
      </w:pPr>
    </w:p>
    <w:p w:rsidR="00AC53BC" w:rsidRPr="00B41B87" w:rsidRDefault="00AC53BC" w:rsidP="00793886">
      <w:pPr>
        <w:jc w:val="center"/>
        <w:rPr>
          <w:sz w:val="28"/>
        </w:rPr>
      </w:pPr>
    </w:p>
    <w:p w:rsidR="00AC53BC" w:rsidRPr="00B41B87" w:rsidRDefault="00AC53BC" w:rsidP="00793886">
      <w:pPr>
        <w:jc w:val="center"/>
        <w:rPr>
          <w:sz w:val="28"/>
        </w:rPr>
      </w:pPr>
    </w:p>
    <w:p w:rsidR="00AC53BC" w:rsidRPr="00B41B87" w:rsidRDefault="00AC53BC" w:rsidP="00793886">
      <w:pPr>
        <w:jc w:val="center"/>
        <w:rPr>
          <w:sz w:val="28"/>
        </w:rPr>
      </w:pPr>
    </w:p>
    <w:p w:rsidR="00AC53BC" w:rsidRPr="00B41B87" w:rsidRDefault="00AC53BC" w:rsidP="00793886">
      <w:pPr>
        <w:jc w:val="center"/>
        <w:rPr>
          <w:sz w:val="28"/>
        </w:rPr>
      </w:pPr>
    </w:p>
    <w:p w:rsidR="00AC53BC" w:rsidRPr="00B41B87" w:rsidRDefault="00AC53BC" w:rsidP="00793886">
      <w:pPr>
        <w:jc w:val="center"/>
        <w:rPr>
          <w:sz w:val="28"/>
        </w:rPr>
      </w:pPr>
    </w:p>
    <w:p w:rsidR="00AC53BC" w:rsidRPr="00B41B87" w:rsidRDefault="00AC53BC" w:rsidP="00793886">
      <w:pPr>
        <w:jc w:val="center"/>
        <w:rPr>
          <w:sz w:val="28"/>
        </w:rPr>
      </w:pPr>
    </w:p>
    <w:p w:rsidR="00AC53BC" w:rsidRPr="00B41B87" w:rsidRDefault="00AC53BC" w:rsidP="00793886">
      <w:pPr>
        <w:jc w:val="center"/>
        <w:rPr>
          <w:sz w:val="28"/>
        </w:rPr>
      </w:pPr>
    </w:p>
    <w:p w:rsidR="00AC53BC" w:rsidRPr="00B41B87" w:rsidRDefault="0048697D" w:rsidP="00793886">
      <w:pPr>
        <w:jc w:val="center"/>
        <w:rPr>
          <w:sz w:val="28"/>
        </w:rPr>
      </w:pPr>
      <w:r>
        <w:rPr>
          <w:rFonts w:hint="eastAsia"/>
          <w:sz w:val="28"/>
        </w:rPr>
        <w:t>2020年12月</w:t>
      </w:r>
    </w:p>
    <w:p w:rsidR="00AC53BC" w:rsidRPr="00B41B87" w:rsidRDefault="00AC53BC" w:rsidP="00793886">
      <w:pPr>
        <w:jc w:val="center"/>
        <w:rPr>
          <w:sz w:val="28"/>
        </w:rPr>
      </w:pPr>
    </w:p>
    <w:p w:rsidR="00AC53BC" w:rsidRPr="00B41B87" w:rsidRDefault="00AC53BC" w:rsidP="00793886">
      <w:pPr>
        <w:jc w:val="center"/>
        <w:rPr>
          <w:sz w:val="28"/>
        </w:rPr>
      </w:pPr>
    </w:p>
    <w:p w:rsidR="008A2DDF" w:rsidRDefault="008A2DDF" w:rsidP="008A2DDF">
      <w:pPr>
        <w:pStyle w:val="a5"/>
        <w:ind w:left="720" w:firstLineChars="0" w:firstLine="0"/>
        <w:jc w:val="center"/>
        <w:rPr>
          <w:sz w:val="28"/>
        </w:rPr>
      </w:pPr>
      <w:r>
        <w:rPr>
          <w:rFonts w:hint="eastAsia"/>
          <w:sz w:val="28"/>
        </w:rPr>
        <w:lastRenderedPageBreak/>
        <w:t>前言</w:t>
      </w:r>
    </w:p>
    <w:p w:rsidR="008A2DDF" w:rsidRDefault="008A2DDF" w:rsidP="008A2DDF">
      <w:pPr>
        <w:pStyle w:val="a5"/>
        <w:ind w:left="720" w:firstLineChars="0" w:firstLine="0"/>
        <w:jc w:val="center"/>
        <w:rPr>
          <w:sz w:val="28"/>
        </w:rPr>
      </w:pPr>
    </w:p>
    <w:p w:rsidR="008A2DDF" w:rsidRDefault="008A2DDF" w:rsidP="008A2DDF">
      <w:pPr>
        <w:spacing w:line="360" w:lineRule="auto"/>
        <w:ind w:firstLineChars="200" w:firstLine="560"/>
        <w:jc w:val="left"/>
        <w:rPr>
          <w:sz w:val="28"/>
        </w:rPr>
      </w:pPr>
      <w:r w:rsidRPr="008A2DDF">
        <w:rPr>
          <w:sz w:val="28"/>
        </w:rPr>
        <w:t xml:space="preserve"> 为加强土壤及地下水环境保护监督管理，防</w:t>
      </w:r>
      <w:r w:rsidR="004F2B4C">
        <w:rPr>
          <w:rFonts w:hint="eastAsia"/>
          <w:sz w:val="28"/>
        </w:rPr>
        <w:t>止</w:t>
      </w:r>
      <w:r w:rsidRPr="008A2DDF">
        <w:rPr>
          <w:sz w:val="28"/>
        </w:rPr>
        <w:t>在企业</w:t>
      </w:r>
      <w:r>
        <w:rPr>
          <w:rFonts w:hint="eastAsia"/>
          <w:sz w:val="28"/>
        </w:rPr>
        <w:t>生产中</w:t>
      </w:r>
      <w:r w:rsidR="004F2B4C">
        <w:rPr>
          <w:rFonts w:hint="eastAsia"/>
          <w:sz w:val="28"/>
        </w:rPr>
        <w:t>污染</w:t>
      </w:r>
      <w:r w:rsidRPr="008A2DDF">
        <w:rPr>
          <w:sz w:val="28"/>
        </w:rPr>
        <w:t>土壤及地下水污染，规范和指导企业开展土壤及地下水自行监测工作，根据《中华人民共和国环境保护法》、 《土壤污染防治行动计划》以及《工矿用地土壤环境管理办法（试行）》，</w:t>
      </w:r>
      <w:r>
        <w:rPr>
          <w:rFonts w:hint="eastAsia"/>
          <w:sz w:val="28"/>
        </w:rPr>
        <w:t>特制定本企业自行监测方案。</w:t>
      </w: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Default="008A2DDF" w:rsidP="008A2DDF">
      <w:pPr>
        <w:spacing w:line="360" w:lineRule="auto"/>
        <w:ind w:firstLineChars="200" w:firstLine="560"/>
        <w:jc w:val="left"/>
        <w:rPr>
          <w:sz w:val="28"/>
        </w:rPr>
      </w:pPr>
    </w:p>
    <w:p w:rsidR="008A2DDF" w:rsidRPr="008A2DDF" w:rsidRDefault="008A2DDF" w:rsidP="008A2DDF">
      <w:pPr>
        <w:pStyle w:val="a5"/>
        <w:numPr>
          <w:ilvl w:val="0"/>
          <w:numId w:val="3"/>
        </w:numPr>
        <w:spacing w:line="360" w:lineRule="auto"/>
        <w:ind w:firstLineChars="0"/>
        <w:jc w:val="left"/>
        <w:rPr>
          <w:sz w:val="28"/>
        </w:rPr>
      </w:pPr>
      <w:r w:rsidRPr="008A2DDF">
        <w:rPr>
          <w:rFonts w:hint="eastAsia"/>
          <w:sz w:val="28"/>
        </w:rPr>
        <w:lastRenderedPageBreak/>
        <w:t>引用标准：</w:t>
      </w:r>
    </w:p>
    <w:p w:rsidR="008A2DDF" w:rsidRPr="008A2DDF" w:rsidRDefault="008A2DDF" w:rsidP="008A2DDF">
      <w:pPr>
        <w:spacing w:line="360" w:lineRule="auto"/>
        <w:ind w:firstLineChars="200" w:firstLine="560"/>
        <w:jc w:val="left"/>
        <w:rPr>
          <w:sz w:val="28"/>
        </w:rPr>
      </w:pPr>
      <w:r w:rsidRPr="008A2DDF">
        <w:rPr>
          <w:sz w:val="28"/>
        </w:rPr>
        <w:t>GB 36600-2018 土壤环境质量 建设用地土壤污染风险管控标准（试行）</w:t>
      </w:r>
    </w:p>
    <w:p w:rsidR="008A2DDF" w:rsidRPr="008A2DDF" w:rsidRDefault="008A2DDF" w:rsidP="008A2DDF">
      <w:pPr>
        <w:spacing w:line="360" w:lineRule="auto"/>
        <w:ind w:firstLineChars="150" w:firstLine="420"/>
        <w:jc w:val="left"/>
        <w:rPr>
          <w:sz w:val="28"/>
        </w:rPr>
      </w:pPr>
      <w:r w:rsidRPr="008A2DDF">
        <w:rPr>
          <w:sz w:val="28"/>
        </w:rPr>
        <w:t>GB 50021 岩土工程勘察规范</w:t>
      </w:r>
    </w:p>
    <w:p w:rsidR="008A2DDF" w:rsidRPr="008A2DDF" w:rsidRDefault="008A2DDF" w:rsidP="008A2DDF">
      <w:pPr>
        <w:spacing w:line="360" w:lineRule="auto"/>
        <w:ind w:firstLineChars="150" w:firstLine="420"/>
        <w:jc w:val="left"/>
        <w:rPr>
          <w:sz w:val="28"/>
        </w:rPr>
      </w:pPr>
      <w:r w:rsidRPr="008A2DDF">
        <w:rPr>
          <w:sz w:val="28"/>
        </w:rPr>
        <w:t>GB/T 14848 地下水质量标准</w:t>
      </w:r>
    </w:p>
    <w:p w:rsidR="008A2DDF" w:rsidRPr="008A2DDF" w:rsidRDefault="008A2DDF" w:rsidP="008A2DDF">
      <w:pPr>
        <w:spacing w:line="360" w:lineRule="auto"/>
        <w:ind w:firstLineChars="150" w:firstLine="420"/>
        <w:jc w:val="left"/>
        <w:rPr>
          <w:sz w:val="28"/>
        </w:rPr>
      </w:pPr>
      <w:r w:rsidRPr="008A2DDF">
        <w:rPr>
          <w:sz w:val="28"/>
        </w:rPr>
        <w:t>HJ 819 排污单位自行监测技术指南 总则</w:t>
      </w:r>
    </w:p>
    <w:p w:rsidR="008A2DDF" w:rsidRPr="008A2DDF" w:rsidRDefault="008A2DDF" w:rsidP="008A2DDF">
      <w:pPr>
        <w:spacing w:line="360" w:lineRule="auto"/>
        <w:ind w:firstLineChars="150" w:firstLine="420"/>
        <w:jc w:val="left"/>
        <w:rPr>
          <w:sz w:val="28"/>
        </w:rPr>
      </w:pPr>
      <w:r w:rsidRPr="008A2DDF">
        <w:rPr>
          <w:sz w:val="28"/>
        </w:rPr>
        <w:t>HJ 25.1 场地环境调查技术导则</w:t>
      </w:r>
    </w:p>
    <w:p w:rsidR="008A2DDF" w:rsidRPr="008A2DDF" w:rsidRDefault="008A2DDF" w:rsidP="008A2DDF">
      <w:pPr>
        <w:spacing w:line="360" w:lineRule="auto"/>
        <w:ind w:firstLineChars="150" w:firstLine="420"/>
        <w:jc w:val="left"/>
        <w:rPr>
          <w:sz w:val="28"/>
        </w:rPr>
      </w:pPr>
      <w:r w:rsidRPr="008A2DDF">
        <w:rPr>
          <w:sz w:val="28"/>
        </w:rPr>
        <w:t>HJ 25.2 场地环境监测技术导则</w:t>
      </w:r>
    </w:p>
    <w:p w:rsidR="008A2DDF" w:rsidRPr="008A2DDF" w:rsidRDefault="008A2DDF" w:rsidP="008A2DDF">
      <w:pPr>
        <w:spacing w:line="360" w:lineRule="auto"/>
        <w:ind w:firstLineChars="150" w:firstLine="420"/>
        <w:jc w:val="left"/>
        <w:rPr>
          <w:sz w:val="28"/>
        </w:rPr>
      </w:pPr>
      <w:r w:rsidRPr="008A2DDF">
        <w:rPr>
          <w:sz w:val="28"/>
        </w:rPr>
        <w:t>HJ 25.3 污染场地风险评估技术导则</w:t>
      </w:r>
    </w:p>
    <w:p w:rsidR="008A2DDF" w:rsidRPr="008A2DDF" w:rsidRDefault="008A2DDF" w:rsidP="008A2DDF">
      <w:pPr>
        <w:spacing w:line="360" w:lineRule="auto"/>
        <w:ind w:firstLineChars="150" w:firstLine="420"/>
        <w:jc w:val="left"/>
        <w:rPr>
          <w:sz w:val="28"/>
        </w:rPr>
      </w:pPr>
      <w:r w:rsidRPr="008A2DDF">
        <w:rPr>
          <w:sz w:val="28"/>
        </w:rPr>
        <w:t>HJ/T 164 地下水环境监测技术规范</w:t>
      </w:r>
    </w:p>
    <w:p w:rsidR="008A2DDF" w:rsidRPr="008A2DDF" w:rsidRDefault="008A2DDF" w:rsidP="008A2DDF">
      <w:pPr>
        <w:spacing w:line="360" w:lineRule="auto"/>
        <w:ind w:firstLineChars="150" w:firstLine="420"/>
        <w:jc w:val="left"/>
        <w:rPr>
          <w:sz w:val="28"/>
        </w:rPr>
      </w:pPr>
      <w:r w:rsidRPr="008A2DDF">
        <w:rPr>
          <w:sz w:val="28"/>
        </w:rPr>
        <w:t>HJ/T 166 土壤环境监测技术规范</w:t>
      </w:r>
    </w:p>
    <w:p w:rsidR="008A2DDF" w:rsidRPr="008A2DDF" w:rsidRDefault="008A2DDF" w:rsidP="008A2DDF">
      <w:pPr>
        <w:spacing w:line="360" w:lineRule="auto"/>
        <w:ind w:firstLineChars="200" w:firstLine="560"/>
        <w:jc w:val="left"/>
        <w:rPr>
          <w:sz w:val="28"/>
        </w:rPr>
      </w:pPr>
      <w:r w:rsidRPr="008A2DDF">
        <w:rPr>
          <w:sz w:val="28"/>
        </w:rPr>
        <w:t>HJ 682 污染场地术语</w:t>
      </w:r>
    </w:p>
    <w:p w:rsidR="008A2DDF" w:rsidRDefault="008A2DDF" w:rsidP="008A2DDF">
      <w:pPr>
        <w:pStyle w:val="a5"/>
        <w:ind w:left="720" w:firstLineChars="0" w:firstLine="0"/>
        <w:jc w:val="center"/>
        <w:rPr>
          <w:sz w:val="28"/>
        </w:rPr>
      </w:pPr>
    </w:p>
    <w:p w:rsidR="008A2DDF" w:rsidRPr="008A2DDF" w:rsidRDefault="00AC53BC" w:rsidP="008A2DDF">
      <w:pPr>
        <w:pStyle w:val="a5"/>
        <w:numPr>
          <w:ilvl w:val="0"/>
          <w:numId w:val="3"/>
        </w:numPr>
        <w:ind w:firstLineChars="0"/>
        <w:jc w:val="left"/>
        <w:rPr>
          <w:sz w:val="28"/>
        </w:rPr>
      </w:pPr>
      <w:r w:rsidRPr="008A2DDF">
        <w:rPr>
          <w:rFonts w:hint="eastAsia"/>
          <w:sz w:val="28"/>
        </w:rPr>
        <w:t>项目概况：</w:t>
      </w:r>
    </w:p>
    <w:p w:rsidR="00AC53BC" w:rsidRPr="003350C9" w:rsidRDefault="00AC53BC" w:rsidP="00B41B87">
      <w:pPr>
        <w:wordWrap w:val="0"/>
        <w:spacing w:before="453" w:line="360" w:lineRule="auto"/>
        <w:ind w:firstLineChars="200" w:firstLine="564"/>
        <w:jc w:val="left"/>
        <w:rPr>
          <w:rFonts w:ascii="宋体" w:eastAsia="Times New Roman" w:hAnsi="宋体" w:cs="宋体"/>
          <w:color w:val="000000"/>
          <w:sz w:val="28"/>
        </w:rPr>
      </w:pPr>
      <w:r w:rsidRPr="003350C9">
        <w:rPr>
          <w:rFonts w:ascii="宋体" w:eastAsia="Times New Roman" w:hAnsi="宋体" w:cs="宋体"/>
          <w:color w:val="000000"/>
          <w:spacing w:val="1"/>
          <w:sz w:val="28"/>
        </w:rPr>
        <w:t>本项目位于吉林省德惠市米沙子镇</w:t>
      </w:r>
      <w:r w:rsidRPr="003350C9">
        <w:rPr>
          <w:rFonts w:eastAsia="Times New Roman" w:hAnsi="Calibri" w:cs="Times New Roman"/>
          <w:color w:val="000000"/>
          <w:spacing w:val="-1"/>
          <w:sz w:val="28"/>
        </w:rPr>
        <w:t xml:space="preserve"> </w:t>
      </w:r>
      <w:r w:rsidRPr="003350C9">
        <w:rPr>
          <w:rFonts w:ascii="RUOJAL+TimesNewRomanPSMT" w:eastAsia="Times New Roman" w:hAnsi="Calibri" w:cs="Times New Roman"/>
          <w:color w:val="000000"/>
          <w:sz w:val="28"/>
        </w:rPr>
        <w:t>102</w:t>
      </w:r>
      <w:r w:rsidRPr="003350C9">
        <w:rPr>
          <w:rFonts w:eastAsia="Times New Roman" w:hAnsi="Calibri" w:cs="Times New Roman"/>
          <w:color w:val="000000"/>
          <w:spacing w:val="2"/>
          <w:sz w:val="28"/>
        </w:rPr>
        <w:t xml:space="preserve"> </w:t>
      </w:r>
      <w:r w:rsidRPr="003350C9">
        <w:rPr>
          <w:rFonts w:ascii="宋体" w:eastAsia="Times New Roman" w:hAnsi="宋体" w:cs="宋体"/>
          <w:color w:val="000000"/>
          <w:sz w:val="28"/>
        </w:rPr>
        <w:t>线</w:t>
      </w:r>
      <w:r w:rsidRPr="003350C9">
        <w:rPr>
          <w:rFonts w:eastAsia="Times New Roman" w:hAnsi="Calibri" w:cs="Times New Roman"/>
          <w:color w:val="000000"/>
          <w:sz w:val="28"/>
        </w:rPr>
        <w:t xml:space="preserve"> </w:t>
      </w:r>
      <w:r w:rsidRPr="003350C9">
        <w:rPr>
          <w:rFonts w:ascii="RUOJAL+TimesNewRomanPSMT" w:eastAsia="Times New Roman" w:hAnsi="Calibri" w:cs="Times New Roman"/>
          <w:color w:val="000000"/>
          <w:sz w:val="28"/>
        </w:rPr>
        <w:t>1098</w:t>
      </w:r>
      <w:r w:rsidRPr="003350C9">
        <w:rPr>
          <w:rFonts w:ascii="宋体" w:eastAsia="Times New Roman" w:hAnsi="宋体" w:cs="宋体"/>
          <w:color w:val="000000"/>
          <w:spacing w:val="1"/>
          <w:sz w:val="28"/>
        </w:rPr>
        <w:t>公里处</w:t>
      </w:r>
      <w:r w:rsidRPr="003350C9">
        <w:rPr>
          <w:rFonts w:ascii="宋体" w:eastAsia="Times New Roman" w:hAnsi="宋体" w:cs="宋体"/>
          <w:color w:val="000000"/>
          <w:sz w:val="28"/>
        </w:rPr>
        <w:t>，南侧为院内厂房，西侧为农田，北侧为空地，距离本项目最近敏感点为西北侧</w:t>
      </w:r>
      <w:r w:rsidRPr="003350C9">
        <w:rPr>
          <w:rFonts w:eastAsia="Times New Roman" w:hAnsi="Calibri" w:cs="Times New Roman"/>
          <w:color w:val="000000"/>
          <w:sz w:val="28"/>
        </w:rPr>
        <w:t xml:space="preserve"> </w:t>
      </w:r>
      <w:r w:rsidRPr="003350C9">
        <w:rPr>
          <w:rFonts w:ascii="RUOJAL+TimesNewRomanPSMT" w:eastAsia="Times New Roman" w:hAnsi="Calibri" w:cs="Times New Roman"/>
          <w:color w:val="000000"/>
          <w:sz w:val="28"/>
        </w:rPr>
        <w:t>395m</w:t>
      </w:r>
      <w:r w:rsidRPr="003350C9">
        <w:rPr>
          <w:rFonts w:eastAsia="Times New Roman" w:hAnsi="Calibri" w:cs="Times New Roman"/>
          <w:color w:val="000000"/>
          <w:spacing w:val="-2"/>
          <w:sz w:val="28"/>
        </w:rPr>
        <w:t xml:space="preserve"> </w:t>
      </w:r>
      <w:r w:rsidRPr="003350C9">
        <w:rPr>
          <w:rFonts w:ascii="宋体" w:eastAsia="Times New Roman" w:hAnsi="宋体" w:cs="宋体"/>
          <w:color w:val="000000"/>
          <w:spacing w:val="-3"/>
          <w:sz w:val="28"/>
        </w:rPr>
        <w:t>的村屯。本项目产品方案为年处置</w:t>
      </w:r>
      <w:r w:rsidRPr="003350C9">
        <w:rPr>
          <w:rFonts w:ascii="宋体" w:eastAsia="Times New Roman" w:hAnsi="宋体" w:cs="宋体"/>
          <w:color w:val="000000"/>
          <w:sz w:val="28"/>
        </w:rPr>
        <w:t>再生废烟气脱硝催</w:t>
      </w:r>
      <w:r w:rsidR="00B41B87" w:rsidRPr="003350C9">
        <w:rPr>
          <w:rFonts w:ascii="RUOJAL+TimesNewRomanPSMT" w:eastAsia="Times New Roman" w:hAnsi="Calibri" w:cs="Times New Roman"/>
          <w:color w:val="000000"/>
          <w:sz w:val="28"/>
        </w:rPr>
        <w:t>15000t</w:t>
      </w:r>
      <w:r w:rsidR="00B41B87" w:rsidRPr="003350C9">
        <w:rPr>
          <w:rFonts w:ascii="宋体" w:eastAsia="Times New Roman" w:hAnsi="宋体" w:cs="宋体"/>
          <w:color w:val="000000"/>
          <w:sz w:val="28"/>
        </w:rPr>
        <w:t>（</w:t>
      </w:r>
      <w:r w:rsidR="00B41B87" w:rsidRPr="003350C9">
        <w:rPr>
          <w:rFonts w:ascii="RUOJAL+TimesNewRomanPSMT" w:eastAsia="Times New Roman" w:hAnsi="Calibri" w:cs="Times New Roman"/>
          <w:color w:val="000000"/>
          <w:sz w:val="28"/>
        </w:rPr>
        <w:t>30000m</w:t>
      </w:r>
      <w:r w:rsidR="00B41B87" w:rsidRPr="003350C9">
        <w:rPr>
          <w:rFonts w:ascii="RUOJAL+TimesNewRomanPSMT" w:eastAsia="Times New Roman" w:hAnsi="Calibri" w:cs="Times New Roman"/>
          <w:color w:val="000000"/>
          <w:spacing w:val="-1"/>
          <w:sz w:val="28"/>
          <w:vertAlign w:val="superscript"/>
        </w:rPr>
        <w:t>3</w:t>
      </w:r>
      <w:r w:rsidR="00B41B87" w:rsidRPr="003350C9">
        <w:rPr>
          <w:rFonts w:ascii="宋体" w:eastAsia="Times New Roman" w:hAnsi="宋体" w:cs="宋体"/>
          <w:color w:val="000000"/>
          <w:sz w:val="28"/>
        </w:rPr>
        <w:t>）</w:t>
      </w:r>
      <w:r w:rsidR="00B41B87" w:rsidRPr="003350C9">
        <w:rPr>
          <w:rFonts w:ascii="宋体" w:eastAsia="宋体" w:hAnsi="宋体" w:cs="宋体" w:hint="eastAsia"/>
          <w:color w:val="000000"/>
          <w:sz w:val="28"/>
        </w:rPr>
        <w:t>。</w:t>
      </w:r>
      <w:r w:rsidRPr="003350C9">
        <w:rPr>
          <w:rFonts w:ascii="宋体" w:eastAsia="Times New Roman" w:hAnsi="宋体" w:cs="宋体"/>
          <w:color w:val="000000"/>
          <w:sz w:val="28"/>
        </w:rPr>
        <w:t>本项目对环境影响较小。</w:t>
      </w:r>
    </w:p>
    <w:p w:rsidR="00B41B87" w:rsidRPr="003350C9" w:rsidRDefault="00AC53BC" w:rsidP="00B41B87">
      <w:pPr>
        <w:spacing w:before="226" w:line="360" w:lineRule="auto"/>
        <w:ind w:firstLineChars="200" w:firstLine="548"/>
        <w:jc w:val="left"/>
        <w:rPr>
          <w:rFonts w:ascii="宋体" w:eastAsia="宋体" w:hAnsi="宋体" w:cs="宋体"/>
          <w:color w:val="000000"/>
          <w:kern w:val="0"/>
          <w:sz w:val="28"/>
        </w:rPr>
      </w:pPr>
      <w:r w:rsidRPr="003350C9">
        <w:rPr>
          <w:rFonts w:ascii="宋体" w:eastAsia="Times New Roman" w:hAnsi="宋体" w:cs="宋体"/>
          <w:color w:val="000000"/>
          <w:spacing w:val="-3"/>
          <w:sz w:val="28"/>
        </w:rPr>
        <w:t>从宏观地理位置来看，该区域不是饮用水源保护区、自然保护区等经规划确，也不是严重缺水区、重要湿地等生态敏感与脆弱区，企业用地不属基本农田，不属社会关注区。属于工业用地，根据</w:t>
      </w:r>
      <w:r w:rsidR="00B41B87" w:rsidRPr="003350C9">
        <w:rPr>
          <w:rFonts w:ascii="宋体" w:eastAsia="宋体" w:hAnsi="宋体" w:cs="宋体" w:hint="eastAsia"/>
          <w:color w:val="000000"/>
          <w:spacing w:val="-3"/>
          <w:sz w:val="28"/>
        </w:rPr>
        <w:t>国家</w:t>
      </w:r>
      <w:r w:rsidR="00B41B87" w:rsidRPr="003350C9">
        <w:rPr>
          <w:rFonts w:ascii="宋体" w:eastAsia="宋体" w:hAnsi="宋体" w:cs="宋体" w:hint="eastAsia"/>
          <w:color w:val="000000"/>
          <w:spacing w:val="-3"/>
          <w:sz w:val="28"/>
        </w:rPr>
        <w:lastRenderedPageBreak/>
        <w:t>环境部保护令第44</w:t>
      </w:r>
      <w:r w:rsidRPr="003350C9">
        <w:rPr>
          <w:rFonts w:ascii="宋体" w:eastAsia="Times New Roman" w:hAnsi="宋体" w:cs="宋体"/>
          <w:color w:val="000000"/>
          <w:sz w:val="28"/>
        </w:rPr>
        <w:t>号《建设项目环境影响评价分类管理名录》中对环境敏感区的界定原则，本项目不属于敏感区。距离本项目最近敏感点为西北侧</w:t>
      </w:r>
      <w:r w:rsidRPr="003350C9">
        <w:rPr>
          <w:rFonts w:eastAsia="Times New Roman" w:hAnsi="Calibri" w:cs="Times New Roman"/>
          <w:color w:val="000000"/>
          <w:sz w:val="28"/>
        </w:rPr>
        <w:t xml:space="preserve"> </w:t>
      </w:r>
      <w:r w:rsidRPr="003350C9">
        <w:rPr>
          <w:rFonts w:ascii="RUOJAL+TimesNewRomanPSMT" w:eastAsia="Times New Roman" w:hAnsi="Calibri" w:cs="Times New Roman"/>
          <w:color w:val="000000"/>
          <w:sz w:val="28"/>
        </w:rPr>
        <w:t>395m</w:t>
      </w:r>
      <w:r w:rsidRPr="003350C9">
        <w:rPr>
          <w:rFonts w:ascii="宋体" w:eastAsia="Times New Roman" w:hAnsi="宋体" w:cs="宋体"/>
          <w:color w:val="000000"/>
          <w:sz w:val="28"/>
        </w:rPr>
        <w:t>的于家屯，属于本项目的侧上风向，本项目的卫生防护距离经过计算设置为</w:t>
      </w:r>
      <w:r w:rsidRPr="003350C9">
        <w:rPr>
          <w:rFonts w:ascii="RUOJAL+TimesNewRomanPSMT" w:eastAsia="Times New Roman" w:hAnsi="Calibri" w:cs="Times New Roman"/>
          <w:color w:val="000000"/>
          <w:spacing w:val="-1"/>
          <w:sz w:val="28"/>
        </w:rPr>
        <w:t>50m</w:t>
      </w:r>
      <w:r w:rsidRPr="003350C9">
        <w:rPr>
          <w:rFonts w:ascii="宋体" w:eastAsia="Times New Roman" w:hAnsi="宋体" w:cs="宋体"/>
          <w:color w:val="000000"/>
          <w:sz w:val="28"/>
        </w:rPr>
        <w:t>，卫生防护距离范围内没有敏感目标。因此，本项目选址不敏感。</w:t>
      </w:r>
      <w:r w:rsidRPr="003350C9">
        <w:rPr>
          <w:rFonts w:ascii="宋体" w:eastAsia="Times New Roman" w:hAnsi="宋体" w:cs="宋体"/>
          <w:color w:val="000000"/>
          <w:spacing w:val="-3"/>
          <w:sz w:val="28"/>
        </w:rPr>
        <w:t>本项目虽然位于德惠市米沙子镇上风向，但是距离米沙子镇侧最近距离超</w:t>
      </w:r>
      <w:r w:rsidRPr="003350C9">
        <w:rPr>
          <w:rFonts w:ascii="宋体" w:eastAsia="Times New Roman" w:hAnsi="宋体" w:cs="宋体"/>
          <w:color w:val="000000"/>
          <w:sz w:val="28"/>
        </w:rPr>
        <w:t>过</w:t>
      </w:r>
      <w:r w:rsidRPr="003350C9">
        <w:rPr>
          <w:rFonts w:ascii="RUOJAL+TimesNewRomanPSMT" w:eastAsia="Times New Roman" w:hAnsi="Calibri" w:cs="Times New Roman"/>
          <w:color w:val="000000"/>
          <w:sz w:val="28"/>
        </w:rPr>
        <w:t>2.5km</w:t>
      </w:r>
      <w:r w:rsidRPr="003350C9">
        <w:rPr>
          <w:rFonts w:ascii="宋体" w:eastAsia="Times New Roman" w:hAnsi="宋体" w:cs="宋体"/>
          <w:color w:val="000000"/>
          <w:spacing w:val="-1"/>
          <w:sz w:val="28"/>
        </w:rPr>
        <w:t>，不在评价范围内，并且此范围内有田间林地等天然防护带。因此，本</w:t>
      </w:r>
      <w:r w:rsidR="00B41B87" w:rsidRPr="003350C9">
        <w:rPr>
          <w:rFonts w:ascii="宋体" w:eastAsia="Times New Roman" w:hAnsi="宋体" w:cs="宋体"/>
          <w:color w:val="000000"/>
          <w:kern w:val="0"/>
          <w:sz w:val="28"/>
        </w:rPr>
        <w:t>项目在采取严格的污染防治措施并达标排放的情况下对下风向米沙子镇的环境</w:t>
      </w:r>
      <w:r w:rsidR="00B41B87" w:rsidRPr="003350C9">
        <w:rPr>
          <w:rFonts w:ascii="宋体" w:eastAsia="宋体" w:hAnsi="宋体" w:cs="宋体" w:hint="eastAsia"/>
          <w:color w:val="000000"/>
          <w:kern w:val="0"/>
          <w:sz w:val="28"/>
        </w:rPr>
        <w:t>可接收。</w:t>
      </w:r>
      <w:r w:rsidR="008A2DDF" w:rsidRPr="003350C9">
        <w:rPr>
          <w:rFonts w:ascii="宋体" w:eastAsia="宋体" w:hAnsi="宋体" w:cs="宋体" w:hint="eastAsia"/>
          <w:color w:val="000000"/>
          <w:kern w:val="0"/>
          <w:sz w:val="28"/>
        </w:rPr>
        <w:t>厂区及四周见下图：</w:t>
      </w:r>
    </w:p>
    <w:p w:rsidR="008A2DDF" w:rsidRPr="003350C9" w:rsidRDefault="008A2DDF" w:rsidP="008A2DDF">
      <w:pPr>
        <w:spacing w:before="226" w:line="360" w:lineRule="auto"/>
        <w:jc w:val="left"/>
        <w:rPr>
          <w:rFonts w:ascii="宋体" w:eastAsia="宋体" w:hAnsi="宋体" w:cs="宋体"/>
          <w:color w:val="000000"/>
          <w:kern w:val="0"/>
          <w:sz w:val="28"/>
        </w:rPr>
      </w:pPr>
    </w:p>
    <w:p w:rsidR="008A2DDF" w:rsidRDefault="008A2DDF" w:rsidP="00B41B87">
      <w:pPr>
        <w:spacing w:before="226" w:line="360" w:lineRule="auto"/>
        <w:ind w:firstLineChars="200" w:firstLine="560"/>
        <w:jc w:val="left"/>
        <w:rPr>
          <w:rFonts w:ascii="宋体" w:eastAsia="宋体" w:hAnsi="宋体" w:cs="宋体"/>
          <w:color w:val="000000"/>
          <w:kern w:val="0"/>
          <w:sz w:val="28"/>
        </w:rPr>
      </w:pPr>
      <w:r>
        <w:rPr>
          <w:rFonts w:ascii="宋体" w:eastAsia="宋体" w:hAnsi="宋体" w:cs="宋体"/>
          <w:noProof/>
          <w:color w:val="000000"/>
          <w:kern w:val="0"/>
          <w:sz w:val="28"/>
        </w:rPr>
        <w:lastRenderedPageBreak/>
        <w:drawing>
          <wp:inline distT="0" distB="0" distL="0" distR="0">
            <wp:extent cx="5447665" cy="8533130"/>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7665" cy="8533130"/>
                    </a:xfrm>
                    <a:prstGeom prst="rect">
                      <a:avLst/>
                    </a:prstGeom>
                    <a:noFill/>
                  </pic:spPr>
                </pic:pic>
              </a:graphicData>
            </a:graphic>
          </wp:inline>
        </w:drawing>
      </w:r>
    </w:p>
    <w:p w:rsidR="00AC53BC" w:rsidRPr="008A2DDF" w:rsidRDefault="00D801F2" w:rsidP="008A2DDF">
      <w:pPr>
        <w:pStyle w:val="a5"/>
        <w:numPr>
          <w:ilvl w:val="0"/>
          <w:numId w:val="3"/>
        </w:numPr>
        <w:spacing w:before="364" w:line="360" w:lineRule="auto"/>
        <w:ind w:firstLineChars="0"/>
        <w:rPr>
          <w:rFonts w:ascii="Times New Roman" w:hAnsi="Calibri" w:cs="Times New Roman"/>
          <w:color w:val="000000"/>
          <w:kern w:val="0"/>
          <w:sz w:val="28"/>
        </w:rPr>
      </w:pPr>
      <w:r w:rsidRPr="008A2DDF">
        <w:rPr>
          <w:rFonts w:ascii="Times New Roman" w:hAnsi="Calibri" w:cs="Times New Roman" w:hint="eastAsia"/>
          <w:color w:val="000000"/>
          <w:kern w:val="0"/>
          <w:sz w:val="28"/>
        </w:rPr>
        <w:lastRenderedPageBreak/>
        <w:t>监测范围：</w:t>
      </w:r>
    </w:p>
    <w:p w:rsidR="00D801F2" w:rsidRDefault="00D801F2" w:rsidP="00D801F2">
      <w:pPr>
        <w:spacing w:before="364" w:line="360" w:lineRule="auto"/>
        <w:ind w:firstLineChars="200" w:firstLine="560"/>
        <w:rPr>
          <w:rFonts w:hAnsi="Calibri" w:cs="Times New Roman"/>
          <w:color w:val="000000"/>
          <w:sz w:val="28"/>
        </w:rPr>
      </w:pPr>
      <w:r w:rsidRPr="00D801F2">
        <w:rPr>
          <w:rFonts w:hAnsi="Calibri" w:cs="Times New Roman" w:hint="eastAsia"/>
          <w:color w:val="000000"/>
          <w:sz w:val="28"/>
        </w:rPr>
        <w:t>以企业边界为限，监测</w:t>
      </w:r>
      <w:r>
        <w:rPr>
          <w:rFonts w:hAnsi="Calibri" w:cs="Times New Roman" w:hint="eastAsia"/>
          <w:color w:val="000000"/>
          <w:sz w:val="28"/>
        </w:rPr>
        <w:t>厂界四周和厂区内</w:t>
      </w:r>
      <w:r w:rsidRPr="00D801F2">
        <w:rPr>
          <w:rFonts w:hAnsi="Calibri" w:cs="Times New Roman" w:hint="eastAsia"/>
          <w:color w:val="000000"/>
          <w:sz w:val="28"/>
        </w:rPr>
        <w:t>土壤环境质量，</w:t>
      </w:r>
      <w:r>
        <w:rPr>
          <w:rFonts w:hAnsi="Calibri" w:cs="Times New Roman" w:hint="eastAsia"/>
          <w:color w:val="000000"/>
          <w:sz w:val="28"/>
        </w:rPr>
        <w:t>同时</w:t>
      </w:r>
      <w:r w:rsidRPr="00D801F2">
        <w:rPr>
          <w:rFonts w:hAnsi="Calibri" w:cs="Times New Roman" w:hint="eastAsia"/>
          <w:color w:val="000000"/>
          <w:sz w:val="28"/>
        </w:rPr>
        <w:t>开展地下水环境质量监测</w:t>
      </w:r>
      <w:r>
        <w:rPr>
          <w:rFonts w:hAnsi="Calibri" w:cs="Times New Roman" w:hint="eastAsia"/>
          <w:color w:val="000000"/>
          <w:sz w:val="28"/>
        </w:rPr>
        <w:t>。</w:t>
      </w:r>
    </w:p>
    <w:p w:rsidR="0020305C" w:rsidRDefault="0020305C" w:rsidP="0020305C">
      <w:pPr>
        <w:pStyle w:val="a5"/>
        <w:numPr>
          <w:ilvl w:val="0"/>
          <w:numId w:val="3"/>
        </w:numPr>
        <w:spacing w:before="364" w:line="360" w:lineRule="auto"/>
        <w:ind w:firstLineChars="0"/>
        <w:rPr>
          <w:rFonts w:hAnsi="Calibri" w:cs="Times New Roman"/>
          <w:color w:val="000000"/>
          <w:sz w:val="28"/>
        </w:rPr>
      </w:pPr>
      <w:r w:rsidRPr="0020305C">
        <w:rPr>
          <w:rFonts w:hAnsi="Calibri" w:cs="Times New Roman" w:hint="eastAsia"/>
          <w:color w:val="000000"/>
          <w:sz w:val="28"/>
        </w:rPr>
        <w:t>地下水监测点位：厂区及下游村庄。</w:t>
      </w:r>
    </w:p>
    <w:p w:rsidR="0020305C" w:rsidRPr="0020305C" w:rsidRDefault="0020305C" w:rsidP="0020305C">
      <w:pPr>
        <w:pStyle w:val="a5"/>
        <w:numPr>
          <w:ilvl w:val="0"/>
          <w:numId w:val="3"/>
        </w:numPr>
        <w:spacing w:before="364" w:line="360" w:lineRule="auto"/>
        <w:ind w:firstLineChars="0"/>
        <w:rPr>
          <w:rFonts w:hAnsi="Calibri" w:cs="Times New Roman"/>
          <w:color w:val="000000"/>
          <w:sz w:val="28"/>
        </w:rPr>
      </w:pPr>
      <w:r w:rsidRPr="0020305C">
        <w:rPr>
          <w:rFonts w:hAnsi="Calibri" w:cs="Times New Roman"/>
          <w:color w:val="000000"/>
          <w:sz w:val="28"/>
        </w:rPr>
        <w:t>评价标准</w:t>
      </w:r>
    </w:p>
    <w:p w:rsidR="0020305C" w:rsidRDefault="0020305C" w:rsidP="0020305C">
      <w:pPr>
        <w:spacing w:before="364" w:line="360" w:lineRule="auto"/>
        <w:rPr>
          <w:rFonts w:hAnsi="Calibri" w:cs="Times New Roman"/>
          <w:color w:val="000000"/>
          <w:sz w:val="28"/>
        </w:rPr>
      </w:pPr>
      <w:r w:rsidRPr="0020305C">
        <w:rPr>
          <w:rFonts w:hAnsi="Calibri" w:cs="Times New Roman" w:hint="eastAsia"/>
          <w:color w:val="000000"/>
          <w:sz w:val="28"/>
        </w:rPr>
        <w:t>选用</w:t>
      </w:r>
      <w:r w:rsidRPr="0020305C">
        <w:rPr>
          <w:rFonts w:hAnsi="Calibri" w:cs="Times New Roman"/>
          <w:color w:val="000000"/>
          <w:sz w:val="28"/>
        </w:rPr>
        <w:t xml:space="preserve"> GB/T14848-93《地下水质量标准》中</w:t>
      </w:r>
      <w:r w:rsidRPr="0020305C">
        <w:rPr>
          <w:rFonts w:ascii="宋体" w:eastAsia="宋体" w:hAnsi="宋体" w:cs="宋体" w:hint="eastAsia"/>
          <w:color w:val="000000"/>
          <w:sz w:val="28"/>
        </w:rPr>
        <w:t>Ⅲ</w:t>
      </w:r>
      <w:r w:rsidRPr="0020305C">
        <w:rPr>
          <w:rFonts w:hAnsi="Calibri" w:cs="Times New Roman"/>
          <w:color w:val="000000"/>
          <w:sz w:val="28"/>
        </w:rPr>
        <w:t>类标准</w:t>
      </w:r>
    </w:p>
    <w:p w:rsidR="0020305C" w:rsidRPr="0020305C" w:rsidRDefault="0020305C" w:rsidP="0020305C">
      <w:pPr>
        <w:spacing w:before="364" w:line="360" w:lineRule="auto"/>
        <w:rPr>
          <w:rFonts w:hAnsi="Calibri" w:cs="Times New Roman"/>
          <w:color w:val="000000"/>
          <w:sz w:val="28"/>
        </w:rPr>
      </w:pPr>
      <w:r>
        <w:rPr>
          <w:rFonts w:hAnsi="Calibri" w:cs="Times New Roman" w:hint="eastAsia"/>
          <w:color w:val="000000"/>
          <w:sz w:val="28"/>
        </w:rPr>
        <w:t>6、</w:t>
      </w:r>
      <w:r w:rsidRPr="0020305C">
        <w:rPr>
          <w:rFonts w:hAnsi="Calibri" w:cs="Times New Roman" w:hint="eastAsia"/>
          <w:color w:val="000000"/>
          <w:sz w:val="28"/>
        </w:rPr>
        <w:t>评价方法</w:t>
      </w:r>
    </w:p>
    <w:p w:rsidR="0020305C" w:rsidRPr="0020305C" w:rsidRDefault="0020305C" w:rsidP="0020305C">
      <w:pPr>
        <w:spacing w:before="364" w:line="360" w:lineRule="auto"/>
        <w:rPr>
          <w:rFonts w:hAnsi="Calibri" w:cs="Times New Roman"/>
          <w:color w:val="000000"/>
          <w:sz w:val="28"/>
        </w:rPr>
      </w:pPr>
      <w:r w:rsidRPr="0020305C">
        <w:rPr>
          <w:rFonts w:hAnsi="Calibri" w:cs="Times New Roman" w:hint="eastAsia"/>
          <w:color w:val="000000"/>
          <w:sz w:val="28"/>
        </w:rPr>
        <w:t>采用地下水质量功能单项标准指数法进行地下水质量评价。利用地下水监测点第</w:t>
      </w:r>
      <w:r w:rsidRPr="0020305C">
        <w:rPr>
          <w:rFonts w:hAnsi="Calibri" w:cs="Times New Roman"/>
          <w:color w:val="000000"/>
          <w:sz w:val="28"/>
        </w:rPr>
        <w:t xml:space="preserve"> i 项地下水指标的监测浓度值 Ci 与该项指标地下水功能的标准浓度值 C o 相</w:t>
      </w:r>
      <w:r w:rsidRPr="0020305C">
        <w:rPr>
          <w:rFonts w:hAnsi="Calibri" w:cs="Times New Roman" w:hint="eastAsia"/>
          <w:color w:val="000000"/>
          <w:sz w:val="28"/>
        </w:rPr>
        <w:t>比，设比值</w:t>
      </w:r>
      <w:r w:rsidRPr="0020305C">
        <w:rPr>
          <w:rFonts w:hAnsi="Calibri" w:cs="Times New Roman"/>
          <w:color w:val="000000"/>
          <w:sz w:val="28"/>
        </w:rPr>
        <w:t xml:space="preserve"> Pi，用 Pi 来评价其是否满足地下水质量功能标准。</w:t>
      </w:r>
    </w:p>
    <w:p w:rsidR="0020305C" w:rsidRPr="0020305C" w:rsidRDefault="0020305C" w:rsidP="0020305C">
      <w:pPr>
        <w:spacing w:before="364" w:line="360" w:lineRule="auto"/>
        <w:rPr>
          <w:rFonts w:hAnsi="Calibri" w:cs="Times New Roman"/>
          <w:color w:val="000000"/>
          <w:sz w:val="28"/>
        </w:rPr>
      </w:pPr>
      <w:r w:rsidRPr="0020305C">
        <w:rPr>
          <w:rFonts w:hAnsi="Calibri" w:cs="Times New Roman" w:hint="eastAsia"/>
          <w:color w:val="000000"/>
          <w:sz w:val="28"/>
        </w:rPr>
        <w:t>采用单项指数法，数学表达式如下：</w:t>
      </w:r>
      <w:r w:rsidRPr="0020305C">
        <w:rPr>
          <w:rFonts w:hAnsi="Calibri" w:cs="Times New Roman"/>
          <w:color w:val="000000"/>
          <w:sz w:val="28"/>
        </w:rPr>
        <w:t>I i =C i /C o</w:t>
      </w:r>
    </w:p>
    <w:p w:rsidR="0020305C" w:rsidRPr="0020305C" w:rsidRDefault="0020305C" w:rsidP="0020305C">
      <w:pPr>
        <w:spacing w:before="364" w:line="360" w:lineRule="auto"/>
        <w:rPr>
          <w:rFonts w:hAnsi="Calibri" w:cs="Times New Roman"/>
          <w:color w:val="000000"/>
          <w:sz w:val="28"/>
        </w:rPr>
      </w:pPr>
      <w:r w:rsidRPr="0020305C">
        <w:rPr>
          <w:rFonts w:hAnsi="Calibri" w:cs="Times New Roman" w:hint="eastAsia"/>
          <w:color w:val="000000"/>
          <w:sz w:val="28"/>
        </w:rPr>
        <w:t>式中：</w:t>
      </w:r>
      <w:r w:rsidRPr="0020305C">
        <w:rPr>
          <w:rFonts w:hAnsi="Calibri" w:cs="Times New Roman"/>
          <w:color w:val="000000"/>
          <w:sz w:val="28"/>
        </w:rPr>
        <w:t xml:space="preserve">I i </w:t>
      </w:r>
      <w:r w:rsidRPr="0020305C">
        <w:rPr>
          <w:rFonts w:hAnsi="Calibri" w:cs="Times New Roman"/>
          <w:color w:val="000000"/>
          <w:sz w:val="28"/>
        </w:rPr>
        <w:t>—</w:t>
      </w:r>
      <w:r w:rsidRPr="0020305C">
        <w:rPr>
          <w:rFonts w:hAnsi="Calibri" w:cs="Times New Roman"/>
          <w:color w:val="000000"/>
          <w:sz w:val="28"/>
        </w:rPr>
        <w:t>第 i 种污染物环境质量指数；</w:t>
      </w:r>
    </w:p>
    <w:p w:rsidR="0020305C" w:rsidRPr="0020305C" w:rsidRDefault="0020305C" w:rsidP="0020305C">
      <w:pPr>
        <w:spacing w:before="364" w:line="360" w:lineRule="auto"/>
        <w:rPr>
          <w:rFonts w:hAnsi="Calibri" w:cs="Times New Roman"/>
          <w:color w:val="000000"/>
          <w:sz w:val="28"/>
        </w:rPr>
      </w:pPr>
      <w:r w:rsidRPr="0020305C">
        <w:rPr>
          <w:rFonts w:hAnsi="Calibri" w:cs="Times New Roman"/>
          <w:color w:val="000000"/>
          <w:sz w:val="28"/>
        </w:rPr>
        <w:t xml:space="preserve">C i </w:t>
      </w:r>
      <w:r w:rsidRPr="0020305C">
        <w:rPr>
          <w:rFonts w:hAnsi="Calibri" w:cs="Times New Roman"/>
          <w:color w:val="000000"/>
          <w:sz w:val="28"/>
        </w:rPr>
        <w:t>—</w:t>
      </w:r>
      <w:r w:rsidRPr="0020305C">
        <w:rPr>
          <w:rFonts w:hAnsi="Calibri" w:cs="Times New Roman"/>
          <w:color w:val="000000"/>
          <w:sz w:val="28"/>
        </w:rPr>
        <w:t>第 i 种污染物的实测浓度，mg/l；</w:t>
      </w:r>
    </w:p>
    <w:p w:rsidR="0020305C" w:rsidRPr="0020305C" w:rsidRDefault="0020305C" w:rsidP="0020305C">
      <w:pPr>
        <w:spacing w:before="364" w:line="360" w:lineRule="auto"/>
        <w:rPr>
          <w:rFonts w:hAnsi="Calibri" w:cs="Times New Roman"/>
          <w:color w:val="000000"/>
          <w:sz w:val="28"/>
        </w:rPr>
      </w:pPr>
      <w:r w:rsidRPr="0020305C">
        <w:rPr>
          <w:rFonts w:hAnsi="Calibri" w:cs="Times New Roman"/>
          <w:color w:val="000000"/>
          <w:sz w:val="28"/>
        </w:rPr>
        <w:t xml:space="preserve">C o </w:t>
      </w:r>
      <w:r w:rsidRPr="0020305C">
        <w:rPr>
          <w:rFonts w:hAnsi="Calibri" w:cs="Times New Roman"/>
          <w:color w:val="000000"/>
          <w:sz w:val="28"/>
        </w:rPr>
        <w:t>—</w:t>
      </w:r>
      <w:r w:rsidRPr="0020305C">
        <w:rPr>
          <w:rFonts w:hAnsi="Calibri" w:cs="Times New Roman"/>
          <w:color w:val="000000"/>
          <w:sz w:val="28"/>
        </w:rPr>
        <w:t>第 i 种污染物环境质量标准，mg/l。</w:t>
      </w:r>
    </w:p>
    <w:p w:rsidR="0020305C" w:rsidRPr="0020305C" w:rsidRDefault="0020305C" w:rsidP="0020305C">
      <w:pPr>
        <w:spacing w:before="364" w:line="360" w:lineRule="auto"/>
        <w:rPr>
          <w:rFonts w:hAnsi="Calibri" w:cs="Times New Roman"/>
          <w:color w:val="000000"/>
          <w:sz w:val="28"/>
        </w:rPr>
      </w:pPr>
      <w:r w:rsidRPr="0020305C">
        <w:rPr>
          <w:rFonts w:hAnsi="Calibri" w:cs="Times New Roman"/>
          <w:color w:val="000000"/>
          <w:sz w:val="28"/>
        </w:rPr>
        <w:t>pH 值标准指数按下式计算：</w:t>
      </w:r>
    </w:p>
    <w:p w:rsidR="0020305C" w:rsidRDefault="0020305C" w:rsidP="0020305C">
      <w:pPr>
        <w:spacing w:before="364" w:line="360" w:lineRule="auto"/>
        <w:rPr>
          <w:rFonts w:hAnsi="Calibri" w:cs="Times New Roman"/>
          <w:color w:val="000000"/>
          <w:sz w:val="28"/>
        </w:rPr>
      </w:pPr>
      <w:r w:rsidRPr="0020305C">
        <w:rPr>
          <w:rFonts w:hAnsi="Calibri" w:cs="Times New Roman"/>
          <w:color w:val="000000"/>
          <w:sz w:val="28"/>
        </w:rPr>
        <w:lastRenderedPageBreak/>
        <w:t>S pH,j =</w:t>
      </w:r>
      <w:r>
        <w:rPr>
          <w:rFonts w:hAnsi="Calibri" w:cs="Times New Roman"/>
          <w:color w:val="000000"/>
          <w:sz w:val="28"/>
        </w:rPr>
        <w:t>(</w:t>
      </w:r>
      <w:r>
        <w:rPr>
          <w:rFonts w:hAnsi="Calibri" w:cs="Times New Roman" w:hint="eastAsia"/>
          <w:color w:val="000000"/>
          <w:sz w:val="28"/>
        </w:rPr>
        <w:t>7.0-</w:t>
      </w:r>
      <w:r>
        <w:rPr>
          <w:rFonts w:hAnsi="Calibri" w:cs="Times New Roman"/>
          <w:color w:val="000000"/>
          <w:sz w:val="28"/>
        </w:rPr>
        <w:t>PH</w:t>
      </w:r>
      <w:r w:rsidR="00372419">
        <w:rPr>
          <w:rFonts w:hAnsi="Calibri" w:cs="Times New Roman"/>
          <w:color w:val="000000"/>
          <w:sz w:val="28"/>
        </w:rPr>
        <w:t>j</w:t>
      </w:r>
      <w:r>
        <w:rPr>
          <w:rFonts w:hAnsi="Calibri" w:cs="Times New Roman"/>
          <w:color w:val="000000"/>
          <w:sz w:val="28"/>
        </w:rPr>
        <w:t>)/</w:t>
      </w:r>
      <w:r w:rsidR="00372419">
        <w:rPr>
          <w:rFonts w:hAnsi="Calibri" w:cs="Times New Roman"/>
          <w:color w:val="000000"/>
          <w:sz w:val="28"/>
        </w:rPr>
        <w:t xml:space="preserve">(7.0-PH sd)         </w:t>
      </w:r>
      <w:r w:rsidR="00372419" w:rsidRPr="00372419">
        <w:rPr>
          <w:rFonts w:hAnsi="Calibri" w:cs="Times New Roman"/>
          <w:color w:val="000000"/>
          <w:sz w:val="28"/>
        </w:rPr>
        <w:t xml:space="preserve">pH j </w:t>
      </w:r>
      <w:r w:rsidR="00372419" w:rsidRPr="00372419">
        <w:rPr>
          <w:rFonts w:hAnsi="Calibri" w:cs="Times New Roman"/>
          <w:color w:val="000000"/>
          <w:sz w:val="28"/>
        </w:rPr>
        <w:t>≤</w:t>
      </w:r>
      <w:r w:rsidR="00372419" w:rsidRPr="00372419">
        <w:rPr>
          <w:rFonts w:hAnsi="Calibri" w:cs="Times New Roman"/>
          <w:color w:val="000000"/>
          <w:sz w:val="28"/>
        </w:rPr>
        <w:t>7.0</w:t>
      </w:r>
      <w:r w:rsidR="00372419">
        <w:rPr>
          <w:rFonts w:hAnsi="Calibri" w:cs="Times New Roman"/>
          <w:color w:val="000000"/>
          <w:sz w:val="28"/>
        </w:rPr>
        <w:t xml:space="preserve">     </w:t>
      </w:r>
    </w:p>
    <w:p w:rsidR="00372419" w:rsidRPr="00372419" w:rsidRDefault="00372419" w:rsidP="00372419">
      <w:pPr>
        <w:spacing w:before="364" w:line="360" w:lineRule="auto"/>
        <w:rPr>
          <w:rFonts w:hAnsi="Calibri" w:cs="Times New Roman"/>
          <w:color w:val="000000"/>
          <w:sz w:val="28"/>
        </w:rPr>
      </w:pPr>
      <w:r w:rsidRPr="00372419">
        <w:rPr>
          <w:rFonts w:hAnsi="Calibri" w:cs="Times New Roman"/>
          <w:color w:val="000000"/>
          <w:sz w:val="28"/>
        </w:rPr>
        <w:t>S pH,j =</w:t>
      </w:r>
      <w:r>
        <w:rPr>
          <w:rFonts w:hAnsi="Calibri" w:cs="Times New Roman"/>
          <w:color w:val="000000"/>
          <w:sz w:val="28"/>
        </w:rPr>
        <w:t>(Phj-7.0)/(ph ud-7.0)</w:t>
      </w:r>
      <w:r>
        <w:rPr>
          <w:rFonts w:hAnsi="Calibri" w:cs="Times New Roman" w:hint="eastAsia"/>
          <w:color w:val="000000"/>
          <w:sz w:val="28"/>
        </w:rPr>
        <w:t xml:space="preserve"> </w:t>
      </w:r>
      <w:r>
        <w:rPr>
          <w:rFonts w:hAnsi="Calibri" w:cs="Times New Roman"/>
          <w:color w:val="000000"/>
          <w:sz w:val="28"/>
        </w:rPr>
        <w:t xml:space="preserve">         </w:t>
      </w:r>
      <w:r w:rsidRPr="00372419">
        <w:rPr>
          <w:rFonts w:hAnsi="Calibri" w:cs="Times New Roman"/>
          <w:color w:val="000000"/>
          <w:sz w:val="28"/>
        </w:rPr>
        <w:t>pH j &gt;7.0</w:t>
      </w:r>
    </w:p>
    <w:p w:rsidR="0020305C" w:rsidRPr="0020305C" w:rsidRDefault="0020305C" w:rsidP="0020305C">
      <w:pPr>
        <w:spacing w:before="364" w:line="360" w:lineRule="auto"/>
        <w:rPr>
          <w:rFonts w:hAnsi="Calibri" w:cs="Times New Roman"/>
          <w:color w:val="000000"/>
          <w:sz w:val="28"/>
        </w:rPr>
      </w:pPr>
      <w:r w:rsidRPr="0020305C">
        <w:rPr>
          <w:rFonts w:hAnsi="Calibri" w:cs="Times New Roman"/>
          <w:color w:val="000000"/>
          <w:sz w:val="28"/>
        </w:rPr>
        <w:t xml:space="preserve">j </w:t>
      </w:r>
      <w:r w:rsidRPr="0020305C">
        <w:rPr>
          <w:rFonts w:hAnsi="Calibri" w:cs="Times New Roman"/>
          <w:color w:val="000000"/>
          <w:sz w:val="28"/>
        </w:rPr>
        <w:t>—</w:t>
      </w:r>
      <w:r w:rsidRPr="0020305C">
        <w:rPr>
          <w:rFonts w:hAnsi="Calibri" w:cs="Times New Roman"/>
          <w:color w:val="000000"/>
          <w:sz w:val="28"/>
        </w:rPr>
        <w:t>pH 在第 j 点的标准指数；</w:t>
      </w:r>
    </w:p>
    <w:p w:rsidR="0020305C" w:rsidRPr="0020305C" w:rsidRDefault="0020305C" w:rsidP="0020305C">
      <w:pPr>
        <w:spacing w:before="364" w:line="360" w:lineRule="auto"/>
        <w:rPr>
          <w:rFonts w:hAnsi="Calibri" w:cs="Times New Roman"/>
          <w:color w:val="000000"/>
          <w:sz w:val="28"/>
        </w:rPr>
      </w:pPr>
      <w:r w:rsidRPr="0020305C">
        <w:rPr>
          <w:rFonts w:hAnsi="Calibri" w:cs="Times New Roman"/>
          <w:color w:val="000000"/>
          <w:sz w:val="28"/>
        </w:rPr>
        <w:t xml:space="preserve">pH j </w:t>
      </w:r>
      <w:r w:rsidRPr="0020305C">
        <w:rPr>
          <w:rFonts w:hAnsi="Calibri" w:cs="Times New Roman"/>
          <w:color w:val="000000"/>
          <w:sz w:val="28"/>
        </w:rPr>
        <w:t>—</w:t>
      </w:r>
      <w:r w:rsidRPr="0020305C">
        <w:rPr>
          <w:rFonts w:hAnsi="Calibri" w:cs="Times New Roman"/>
          <w:color w:val="000000"/>
          <w:sz w:val="28"/>
        </w:rPr>
        <w:t>j 点的 pH 值；</w:t>
      </w:r>
    </w:p>
    <w:p w:rsidR="0020305C" w:rsidRPr="0020305C" w:rsidRDefault="0020305C" w:rsidP="0020305C">
      <w:pPr>
        <w:spacing w:before="364" w:line="360" w:lineRule="auto"/>
        <w:rPr>
          <w:rFonts w:hAnsi="Calibri" w:cs="Times New Roman"/>
          <w:color w:val="000000"/>
          <w:sz w:val="28"/>
        </w:rPr>
      </w:pPr>
      <w:r w:rsidRPr="0020305C">
        <w:rPr>
          <w:rFonts w:hAnsi="Calibri" w:cs="Times New Roman"/>
          <w:color w:val="000000"/>
          <w:sz w:val="28"/>
        </w:rPr>
        <w:t xml:space="preserve">pH sd </w:t>
      </w:r>
      <w:r w:rsidRPr="0020305C">
        <w:rPr>
          <w:rFonts w:hAnsi="Calibri" w:cs="Times New Roman"/>
          <w:color w:val="000000"/>
          <w:sz w:val="28"/>
        </w:rPr>
        <w:t>—</w:t>
      </w:r>
      <w:r w:rsidRPr="0020305C">
        <w:rPr>
          <w:rFonts w:hAnsi="Calibri" w:cs="Times New Roman"/>
          <w:color w:val="000000"/>
          <w:sz w:val="28"/>
        </w:rPr>
        <w:t>地表水水质标准中规定的 pH 值下限；</w:t>
      </w:r>
    </w:p>
    <w:p w:rsidR="0020305C" w:rsidRPr="0020305C" w:rsidRDefault="0020305C" w:rsidP="0020305C">
      <w:pPr>
        <w:spacing w:before="364" w:line="360" w:lineRule="auto"/>
        <w:rPr>
          <w:rFonts w:hAnsi="Calibri" w:cs="Times New Roman"/>
          <w:color w:val="000000"/>
          <w:sz w:val="28"/>
        </w:rPr>
      </w:pPr>
      <w:r w:rsidRPr="0020305C">
        <w:rPr>
          <w:rFonts w:hAnsi="Calibri" w:cs="Times New Roman"/>
          <w:color w:val="000000"/>
          <w:sz w:val="28"/>
        </w:rPr>
        <w:t xml:space="preserve">pH su </w:t>
      </w:r>
      <w:r w:rsidRPr="0020305C">
        <w:rPr>
          <w:rFonts w:hAnsi="Calibri" w:cs="Times New Roman"/>
          <w:color w:val="000000"/>
          <w:sz w:val="28"/>
        </w:rPr>
        <w:t>—</w:t>
      </w:r>
      <w:r w:rsidRPr="0020305C">
        <w:rPr>
          <w:rFonts w:hAnsi="Calibri" w:cs="Times New Roman"/>
          <w:color w:val="000000"/>
          <w:sz w:val="28"/>
        </w:rPr>
        <w:t>地表水水质标准中规定的 pH 值上限。</w:t>
      </w:r>
    </w:p>
    <w:p w:rsidR="0020305C" w:rsidRPr="0020305C" w:rsidRDefault="00372419" w:rsidP="0020305C">
      <w:pPr>
        <w:spacing w:before="364" w:line="360" w:lineRule="auto"/>
        <w:rPr>
          <w:rFonts w:hAnsi="Calibri" w:cs="Times New Roman"/>
          <w:color w:val="000000"/>
          <w:sz w:val="28"/>
        </w:rPr>
      </w:pPr>
      <w:r>
        <w:rPr>
          <w:rFonts w:hAnsi="Calibri" w:cs="Times New Roman"/>
          <w:color w:val="000000"/>
          <w:sz w:val="28"/>
        </w:rPr>
        <w:t>7</w:t>
      </w:r>
      <w:r w:rsidR="0020305C">
        <w:rPr>
          <w:rFonts w:hAnsi="Calibri" w:cs="Times New Roman" w:hint="eastAsia"/>
          <w:color w:val="000000"/>
          <w:sz w:val="28"/>
        </w:rPr>
        <w:t>、</w:t>
      </w:r>
      <w:r w:rsidR="00CD0CD3" w:rsidRPr="0020305C">
        <w:rPr>
          <w:rFonts w:hAnsi="Calibri" w:cs="Times New Roman" w:hint="eastAsia"/>
          <w:color w:val="000000"/>
          <w:sz w:val="28"/>
        </w:rPr>
        <w:t>地表水</w:t>
      </w:r>
      <w:bookmarkStart w:id="0" w:name="_Hlk80793313"/>
      <w:r w:rsidR="00CD0CD3" w:rsidRPr="0020305C">
        <w:rPr>
          <w:rFonts w:hAnsi="Calibri" w:cs="Times New Roman" w:hint="eastAsia"/>
          <w:color w:val="000000"/>
          <w:sz w:val="28"/>
        </w:rPr>
        <w:t>污染防治措施</w:t>
      </w:r>
    </w:p>
    <w:bookmarkEnd w:id="0"/>
    <w:p w:rsidR="003350C9" w:rsidRDefault="00CD0CD3" w:rsidP="003350C9">
      <w:pPr>
        <w:spacing w:before="364" w:line="360" w:lineRule="auto"/>
        <w:ind w:firstLineChars="200" w:firstLine="560"/>
        <w:rPr>
          <w:rFonts w:hAnsi="Calibri" w:cs="Times New Roman"/>
          <w:color w:val="000000"/>
          <w:sz w:val="28"/>
        </w:rPr>
      </w:pPr>
      <w:r w:rsidRPr="00CD0CD3">
        <w:rPr>
          <w:rFonts w:hAnsi="Calibri" w:cs="Times New Roman" w:hint="eastAsia"/>
          <w:color w:val="000000"/>
          <w:sz w:val="28"/>
        </w:rPr>
        <w:t>本项目废水排放采取</w:t>
      </w:r>
      <w:r w:rsidRPr="00CD0CD3">
        <w:rPr>
          <w:rFonts w:hAnsi="Calibri" w:cs="Times New Roman"/>
          <w:color w:val="000000"/>
          <w:sz w:val="28"/>
        </w:rPr>
        <w:t xml:space="preserve"> </w:t>
      </w:r>
      <w:r w:rsidRPr="00CD0CD3">
        <w:rPr>
          <w:rFonts w:hAnsi="Calibri" w:cs="Times New Roman"/>
          <w:color w:val="000000"/>
          <w:sz w:val="28"/>
        </w:rPr>
        <w:t>“</w:t>
      </w:r>
      <w:r w:rsidRPr="00CD0CD3">
        <w:rPr>
          <w:rFonts w:hAnsi="Calibri" w:cs="Times New Roman"/>
          <w:color w:val="000000"/>
          <w:sz w:val="28"/>
        </w:rPr>
        <w:t>清污分流</w:t>
      </w:r>
      <w:r w:rsidRPr="00CD0CD3">
        <w:rPr>
          <w:rFonts w:hAnsi="Calibri" w:cs="Times New Roman"/>
          <w:color w:val="000000"/>
          <w:sz w:val="28"/>
        </w:rPr>
        <w:t>”</w:t>
      </w:r>
      <w:r w:rsidRPr="00CD0CD3">
        <w:rPr>
          <w:rFonts w:hAnsi="Calibri" w:cs="Times New Roman"/>
          <w:color w:val="000000"/>
          <w:sz w:val="28"/>
        </w:rPr>
        <w:t>原则，清净下水直接外排；生产废水排入</w:t>
      </w:r>
      <w:r w:rsidRPr="00CD0CD3">
        <w:rPr>
          <w:rFonts w:hAnsi="Calibri" w:cs="Times New Roman" w:hint="eastAsia"/>
          <w:color w:val="000000"/>
          <w:sz w:val="28"/>
        </w:rPr>
        <w:t>自建的污水处理站处理，处理达标后回用于本项目清洗工艺，</w:t>
      </w:r>
      <w:r>
        <w:rPr>
          <w:rFonts w:hAnsi="Calibri" w:cs="Times New Roman" w:hint="eastAsia"/>
          <w:color w:val="000000"/>
          <w:sz w:val="28"/>
        </w:rPr>
        <w:t>。</w:t>
      </w:r>
      <w:r w:rsidRPr="00CD0CD3">
        <w:rPr>
          <w:rFonts w:hAnsi="Calibri" w:cs="Times New Roman"/>
          <w:color w:val="000000"/>
          <w:sz w:val="28"/>
        </w:rPr>
        <w:t xml:space="preserve"> </w:t>
      </w:r>
    </w:p>
    <w:p w:rsidR="00CD0CD3" w:rsidRPr="00CD0CD3" w:rsidRDefault="00CD0CD3" w:rsidP="003350C9">
      <w:pPr>
        <w:spacing w:before="364" w:line="360" w:lineRule="auto"/>
        <w:ind w:firstLineChars="200" w:firstLine="560"/>
        <w:rPr>
          <w:rFonts w:hAnsi="Calibri" w:cs="Times New Roman"/>
          <w:color w:val="000000"/>
          <w:sz w:val="28"/>
        </w:rPr>
      </w:pPr>
      <w:r w:rsidRPr="00CD0CD3">
        <w:rPr>
          <w:rFonts w:hAnsi="Calibri" w:cs="Times New Roman"/>
          <w:color w:val="000000"/>
          <w:sz w:val="28"/>
        </w:rPr>
        <w:t>生产废水污水处理设备的主要工艺原理及去除效果分析</w:t>
      </w:r>
      <w:r w:rsidRPr="00CD0CD3">
        <w:rPr>
          <w:rFonts w:hAnsi="Calibri" w:cs="Times New Roman" w:hint="eastAsia"/>
          <w:color w:val="000000"/>
          <w:sz w:val="28"/>
        </w:rPr>
        <w:t>污水站采用“压滤</w:t>
      </w:r>
      <w:r w:rsidRPr="00CD0CD3">
        <w:rPr>
          <w:rFonts w:hAnsi="Calibri" w:cs="Times New Roman"/>
          <w:color w:val="000000"/>
          <w:sz w:val="28"/>
        </w:rPr>
        <w:t>+化学沉淀+膜过滤+反渗透，设计规模为 20t/d。经自建污水处理装置处理后，生产废水可以达到</w:t>
      </w:r>
      <w:r w:rsidR="003350C9">
        <w:rPr>
          <w:rFonts w:hAnsi="Calibri" w:cs="Times New Roman" w:hint="eastAsia"/>
          <w:color w:val="000000"/>
          <w:sz w:val="28"/>
        </w:rPr>
        <w:t>回用标准，满足生产线要求，回用于生产线</w:t>
      </w:r>
      <w:r w:rsidRPr="00CD0CD3">
        <w:rPr>
          <w:rFonts w:hAnsi="Calibri" w:cs="Times New Roman" w:hint="eastAsia"/>
          <w:color w:val="000000"/>
          <w:sz w:val="28"/>
        </w:rPr>
        <w:t>，污水处理工艺可行</w:t>
      </w:r>
      <w:r w:rsidR="00CA1FC0">
        <w:rPr>
          <w:rFonts w:hAnsi="Calibri" w:cs="Times New Roman" w:hint="eastAsia"/>
          <w:color w:val="000000"/>
          <w:sz w:val="28"/>
        </w:rPr>
        <w:t>。</w:t>
      </w:r>
    </w:p>
    <w:p w:rsidR="00CA1FC0" w:rsidRPr="00CA1FC0" w:rsidRDefault="00CA1FC0" w:rsidP="00CA1FC0">
      <w:pPr>
        <w:spacing w:before="364" w:line="360" w:lineRule="auto"/>
        <w:rPr>
          <w:rFonts w:hAnsi="Calibri" w:cs="Times New Roman"/>
          <w:color w:val="000000"/>
          <w:sz w:val="28"/>
        </w:rPr>
      </w:pPr>
      <w:r w:rsidRPr="00CA1FC0">
        <w:rPr>
          <w:rFonts w:hAnsi="Calibri" w:cs="Times New Roman" w:hint="eastAsia"/>
          <w:color w:val="000000"/>
          <w:sz w:val="28"/>
        </w:rPr>
        <w:t>回用水水质可行性分析</w:t>
      </w:r>
      <w:r>
        <w:rPr>
          <w:rFonts w:hAnsi="Calibri" w:cs="Times New Roman" w:hint="eastAsia"/>
          <w:color w:val="000000"/>
          <w:sz w:val="28"/>
        </w:rPr>
        <w:t>：</w:t>
      </w:r>
    </w:p>
    <w:p w:rsidR="00D801F2" w:rsidRDefault="00CA1FC0" w:rsidP="00CA1FC0">
      <w:pPr>
        <w:spacing w:before="364" w:line="360" w:lineRule="auto"/>
        <w:ind w:firstLineChars="200" w:firstLine="560"/>
        <w:rPr>
          <w:rFonts w:hAnsi="Calibri" w:cs="Times New Roman"/>
          <w:color w:val="000000"/>
          <w:sz w:val="28"/>
        </w:rPr>
      </w:pPr>
      <w:r w:rsidRPr="00CA1FC0">
        <w:rPr>
          <w:rFonts w:hAnsi="Calibri" w:cs="Times New Roman" w:hint="eastAsia"/>
          <w:color w:val="000000"/>
          <w:sz w:val="28"/>
        </w:rPr>
        <w:t>针对本项目生产废水特点，废水处理采用“压滤</w:t>
      </w:r>
      <w:r w:rsidRPr="00CA1FC0">
        <w:rPr>
          <w:rFonts w:hAnsi="Calibri" w:cs="Times New Roman"/>
          <w:color w:val="000000"/>
          <w:sz w:val="28"/>
        </w:rPr>
        <w:t>+沉淀+膜过滤+</w:t>
      </w:r>
      <w:r w:rsidRPr="00CA1FC0">
        <w:rPr>
          <w:rFonts w:hAnsi="Calibri" w:cs="Times New Roman"/>
          <w:color w:val="000000"/>
          <w:sz w:val="28"/>
        </w:rPr>
        <w:lastRenderedPageBreak/>
        <w:t>反渗透</w:t>
      </w:r>
      <w:r w:rsidR="003350C9">
        <w:rPr>
          <w:rFonts w:hAnsi="Calibri" w:cs="Times New Roman" w:hint="eastAsia"/>
          <w:color w:val="000000"/>
          <w:sz w:val="28"/>
        </w:rPr>
        <w:t>+回用”工艺，确保污水处理工艺</w:t>
      </w:r>
      <w:r w:rsidRPr="00CA1FC0">
        <w:rPr>
          <w:rFonts w:hAnsi="Calibri" w:cs="Times New Roman" w:hint="eastAsia"/>
          <w:color w:val="000000"/>
          <w:sz w:val="28"/>
        </w:rPr>
        <w:t>满足回用水标准</w:t>
      </w:r>
      <w:r w:rsidR="003350C9">
        <w:rPr>
          <w:rFonts w:hAnsi="Calibri" w:cs="Times New Roman" w:hint="eastAsia"/>
          <w:color w:val="000000"/>
          <w:sz w:val="28"/>
        </w:rPr>
        <w:t>，回用于</w:t>
      </w:r>
      <w:r w:rsidR="00EC6FE7">
        <w:rPr>
          <w:rFonts w:hAnsi="Calibri" w:cs="Times New Roman" w:hint="eastAsia"/>
          <w:color w:val="000000"/>
          <w:sz w:val="28"/>
        </w:rPr>
        <w:t>超声</w:t>
      </w:r>
      <w:r w:rsidRPr="00CA1FC0">
        <w:rPr>
          <w:rFonts w:hAnsi="Calibri" w:cs="Times New Roman" w:hint="eastAsia"/>
          <w:color w:val="000000"/>
          <w:sz w:val="28"/>
        </w:rPr>
        <w:t>清洗工序</w:t>
      </w:r>
      <w:r w:rsidR="00EC6FE7">
        <w:rPr>
          <w:rFonts w:hAnsi="Calibri" w:cs="Times New Roman" w:hint="eastAsia"/>
          <w:color w:val="000000"/>
          <w:sz w:val="28"/>
        </w:rPr>
        <w:t>，生产线工艺，出水水质标准较高，回用水水质可满足生产冲洗工段水源要求，所以经处理达标回用的生产废水完全满足超声</w:t>
      </w:r>
      <w:r w:rsidRPr="00CA1FC0">
        <w:rPr>
          <w:rFonts w:hAnsi="Calibri" w:cs="Times New Roman" w:hint="eastAsia"/>
          <w:color w:val="000000"/>
          <w:sz w:val="28"/>
        </w:rPr>
        <w:t>清洗生产线工艺需求</w:t>
      </w:r>
      <w:r w:rsidR="00EC6FE7">
        <w:rPr>
          <w:rFonts w:hAnsi="Calibri" w:cs="Times New Roman" w:hint="eastAsia"/>
          <w:color w:val="000000"/>
          <w:sz w:val="28"/>
        </w:rPr>
        <w:t>，回用方案可行</w:t>
      </w:r>
      <w:r w:rsidR="0086648C">
        <w:rPr>
          <w:rFonts w:hAnsi="Calibri" w:cs="Times New Roman" w:hint="eastAsia"/>
          <w:color w:val="000000"/>
          <w:sz w:val="28"/>
        </w:rPr>
        <w:t>，对无法回用的废水</w:t>
      </w:r>
      <w:r w:rsidRPr="00CA1FC0">
        <w:rPr>
          <w:rFonts w:hAnsi="Calibri" w:cs="Times New Roman" w:hint="eastAsia"/>
          <w:color w:val="000000"/>
          <w:sz w:val="28"/>
        </w:rPr>
        <w:t>作为危废由有资质单位收集处理。</w:t>
      </w:r>
    </w:p>
    <w:p w:rsidR="00CA1FC0" w:rsidRPr="00CA1FC0" w:rsidRDefault="00372419" w:rsidP="00CA1FC0">
      <w:pPr>
        <w:spacing w:before="364" w:line="360" w:lineRule="auto"/>
        <w:rPr>
          <w:rFonts w:hAnsi="Calibri" w:cs="Times New Roman"/>
          <w:color w:val="000000"/>
          <w:sz w:val="28"/>
        </w:rPr>
      </w:pPr>
      <w:r>
        <w:rPr>
          <w:rFonts w:hAnsi="Calibri" w:cs="Times New Roman"/>
          <w:color w:val="000000"/>
          <w:sz w:val="28"/>
        </w:rPr>
        <w:t>8</w:t>
      </w:r>
      <w:r w:rsidR="00CA1FC0">
        <w:rPr>
          <w:rFonts w:hAnsi="Calibri" w:cs="Times New Roman" w:hint="eastAsia"/>
          <w:color w:val="000000"/>
          <w:sz w:val="28"/>
        </w:rPr>
        <w:t>、</w:t>
      </w:r>
      <w:r w:rsidR="00CA1FC0" w:rsidRPr="00CA1FC0">
        <w:rPr>
          <w:rFonts w:hAnsi="Calibri" w:cs="Times New Roman" w:hint="eastAsia"/>
          <w:color w:val="000000"/>
          <w:sz w:val="28"/>
        </w:rPr>
        <w:t>地下水污染防治措施</w:t>
      </w:r>
    </w:p>
    <w:p w:rsidR="00CA1FC0" w:rsidRPr="00CA1FC0" w:rsidRDefault="00CA1FC0" w:rsidP="00CA1FC0">
      <w:pPr>
        <w:spacing w:before="364" w:line="360" w:lineRule="auto"/>
        <w:rPr>
          <w:rFonts w:hAnsi="Calibri" w:cs="Times New Roman"/>
          <w:color w:val="000000"/>
          <w:sz w:val="28"/>
        </w:rPr>
      </w:pPr>
      <w:r>
        <w:rPr>
          <w:rFonts w:hAnsi="Calibri" w:cs="Times New Roman" w:hint="eastAsia"/>
          <w:color w:val="000000"/>
          <w:sz w:val="28"/>
        </w:rPr>
        <w:t>（</w:t>
      </w:r>
      <w:r w:rsidRPr="00CA1FC0">
        <w:rPr>
          <w:rFonts w:hAnsi="Calibri" w:cs="Times New Roman"/>
          <w:color w:val="000000"/>
          <w:sz w:val="28"/>
        </w:rPr>
        <w:t>1</w:t>
      </w:r>
      <w:r>
        <w:rPr>
          <w:rFonts w:hAnsi="Calibri" w:cs="Times New Roman" w:hint="eastAsia"/>
          <w:color w:val="000000"/>
          <w:sz w:val="28"/>
        </w:rPr>
        <w:t>）</w:t>
      </w:r>
      <w:r w:rsidRPr="00CA1FC0">
        <w:rPr>
          <w:rFonts w:hAnsi="Calibri" w:cs="Times New Roman"/>
          <w:color w:val="000000"/>
          <w:sz w:val="28"/>
        </w:rPr>
        <w:t xml:space="preserve"> 源头控制措施</w:t>
      </w:r>
    </w:p>
    <w:p w:rsidR="00CA1FC0" w:rsidRPr="00CA1FC0" w:rsidRDefault="00CA1FC0" w:rsidP="00CA1FC0">
      <w:pPr>
        <w:spacing w:before="364" w:line="360" w:lineRule="auto"/>
        <w:ind w:firstLineChars="200" w:firstLine="560"/>
        <w:rPr>
          <w:rFonts w:hAnsi="Calibri" w:cs="Times New Roman"/>
          <w:color w:val="000000"/>
          <w:sz w:val="28"/>
        </w:rPr>
      </w:pPr>
      <w:r w:rsidRPr="00CA1FC0">
        <w:rPr>
          <w:rFonts w:hAnsi="Calibri" w:cs="Times New Roman" w:hint="eastAsia"/>
          <w:color w:val="000000"/>
          <w:sz w:val="28"/>
        </w:rPr>
        <w:t>本项目选择先进、成熟、可靠的工艺技术和较清洁的原辅材料，对产生的废物进行合理的回用和治理，尽可能从源头上减少污染物排放；严格按照国家相关规范要求，对工艺、管道、设备采用相应的措施，以防止和降低污染物的跑、冒、滴、漏，将污染物泄漏的环境风险事故降低到最低程度。</w:t>
      </w:r>
    </w:p>
    <w:p w:rsidR="00CA1FC0" w:rsidRPr="00CA1FC0" w:rsidRDefault="00CA1FC0" w:rsidP="00CA1FC0">
      <w:pPr>
        <w:spacing w:before="364" w:line="360" w:lineRule="auto"/>
        <w:rPr>
          <w:rFonts w:hAnsi="Calibri" w:cs="Times New Roman"/>
          <w:color w:val="000000"/>
          <w:sz w:val="28"/>
        </w:rPr>
      </w:pPr>
      <w:r>
        <w:rPr>
          <w:rFonts w:hAnsi="Calibri" w:cs="Times New Roman" w:hint="eastAsia"/>
          <w:color w:val="000000"/>
          <w:sz w:val="28"/>
        </w:rPr>
        <w:t>（</w:t>
      </w:r>
      <w:r w:rsidRPr="00CA1FC0">
        <w:rPr>
          <w:rFonts w:hAnsi="Calibri" w:cs="Times New Roman"/>
          <w:color w:val="000000"/>
          <w:sz w:val="28"/>
        </w:rPr>
        <w:t>2</w:t>
      </w:r>
      <w:r>
        <w:rPr>
          <w:rFonts w:hAnsi="Calibri" w:cs="Times New Roman" w:hint="eastAsia"/>
          <w:color w:val="000000"/>
          <w:sz w:val="28"/>
        </w:rPr>
        <w:t>）</w:t>
      </w:r>
      <w:r w:rsidRPr="00CA1FC0">
        <w:rPr>
          <w:rFonts w:hAnsi="Calibri" w:cs="Times New Roman"/>
          <w:color w:val="000000"/>
          <w:sz w:val="28"/>
        </w:rPr>
        <w:t xml:space="preserve"> 分区防控措施</w:t>
      </w:r>
    </w:p>
    <w:p w:rsidR="00CA1FC0" w:rsidRPr="00CA1FC0" w:rsidRDefault="00CA1FC0" w:rsidP="00CA1FC0">
      <w:pPr>
        <w:spacing w:before="364" w:line="360" w:lineRule="auto"/>
        <w:ind w:firstLineChars="200" w:firstLine="560"/>
        <w:rPr>
          <w:rFonts w:hAnsi="Calibri" w:cs="Times New Roman"/>
          <w:color w:val="000000"/>
          <w:sz w:val="28"/>
        </w:rPr>
      </w:pPr>
      <w:r w:rsidRPr="00CA1FC0">
        <w:rPr>
          <w:rFonts w:hAnsi="Calibri" w:cs="Times New Roman" w:hint="eastAsia"/>
          <w:color w:val="000000"/>
          <w:sz w:val="28"/>
        </w:rPr>
        <w:t>参照《环境影响评价技术导则地下水环境》（</w:t>
      </w:r>
      <w:r w:rsidRPr="00CA1FC0">
        <w:rPr>
          <w:rFonts w:hAnsi="Calibri" w:cs="Times New Roman"/>
          <w:color w:val="000000"/>
          <w:sz w:val="28"/>
        </w:rPr>
        <w:t>HJ610-2016）的有关要求，根</w:t>
      </w:r>
      <w:r w:rsidRPr="00CA1FC0">
        <w:rPr>
          <w:rFonts w:hAnsi="Calibri" w:cs="Times New Roman" w:hint="eastAsia"/>
          <w:color w:val="000000"/>
          <w:sz w:val="28"/>
        </w:rPr>
        <w:t>据厂区各生产功能可能泄漏至地面的污染物性质和生产单元的构筑方式，将厂区划分为重点防渗区、一般防渗区和简单防渗区，并按要求进行地表防渗。</w:t>
      </w:r>
    </w:p>
    <w:p w:rsidR="00CA1FC0" w:rsidRPr="00CA1FC0" w:rsidRDefault="00CA1FC0" w:rsidP="00CA1FC0">
      <w:pPr>
        <w:spacing w:before="364" w:line="360" w:lineRule="auto"/>
        <w:rPr>
          <w:rFonts w:hAnsi="Calibri" w:cs="Times New Roman"/>
          <w:color w:val="000000"/>
          <w:sz w:val="28"/>
        </w:rPr>
      </w:pPr>
      <w:r w:rsidRPr="00CA1FC0">
        <w:rPr>
          <w:rFonts w:hAnsi="Calibri" w:cs="Times New Roman"/>
          <w:color w:val="000000"/>
          <w:sz w:val="28"/>
        </w:rPr>
        <w:t>重点防渗区</w:t>
      </w:r>
      <w:r>
        <w:rPr>
          <w:rFonts w:hAnsi="Calibri" w:cs="Times New Roman" w:hint="eastAsia"/>
          <w:color w:val="000000"/>
          <w:sz w:val="28"/>
        </w:rPr>
        <w:t>：</w:t>
      </w:r>
    </w:p>
    <w:p w:rsidR="00CA1FC0" w:rsidRPr="00CA1FC0" w:rsidRDefault="00CA1FC0" w:rsidP="00CA1FC0">
      <w:pPr>
        <w:spacing w:before="364" w:line="360" w:lineRule="auto"/>
        <w:ind w:firstLineChars="200" w:firstLine="560"/>
        <w:rPr>
          <w:rFonts w:hAnsi="Calibri" w:cs="Times New Roman"/>
          <w:color w:val="000000"/>
          <w:sz w:val="28"/>
        </w:rPr>
      </w:pPr>
      <w:r w:rsidRPr="00CA1FC0">
        <w:rPr>
          <w:rFonts w:hAnsi="Calibri" w:cs="Times New Roman" w:hint="eastAsia"/>
          <w:color w:val="000000"/>
          <w:sz w:val="28"/>
        </w:rPr>
        <w:lastRenderedPageBreak/>
        <w:t>位于地下或半地下的生产功能单元，污染地下水环境的污染物泄漏后不容易被及时发现和处理，或场地水文地质条件相对较差的区域和部位。本项目重点污染防治区包括埋地的污水管道、污水处理站污水池、危险废物暂存库以及废烟气脱硝催化剂原料暂存及缓冲区域。目前该区防渗层的防渗性能应不低于</w:t>
      </w:r>
      <w:r w:rsidRPr="00CA1FC0">
        <w:rPr>
          <w:rFonts w:hAnsi="Calibri" w:cs="Times New Roman"/>
          <w:color w:val="000000"/>
          <w:sz w:val="28"/>
        </w:rPr>
        <w:t xml:space="preserve"> 6.0m 厚渗透系数为 1.0</w:t>
      </w:r>
      <w:r w:rsidRPr="00CA1FC0">
        <w:rPr>
          <w:rFonts w:hAnsi="Calibri" w:cs="Times New Roman"/>
          <w:color w:val="000000"/>
          <w:sz w:val="28"/>
        </w:rPr>
        <w:t>×</w:t>
      </w:r>
      <w:r w:rsidRPr="00CA1FC0">
        <w:rPr>
          <w:rFonts w:hAnsi="Calibri" w:cs="Times New Roman"/>
          <w:color w:val="000000"/>
          <w:sz w:val="28"/>
        </w:rPr>
        <w:t>10-10cm/s 的黏土层的防渗性能。</w:t>
      </w:r>
    </w:p>
    <w:p w:rsidR="00CA1FC0" w:rsidRPr="00CA1FC0" w:rsidRDefault="00CA1FC0" w:rsidP="00CA1FC0">
      <w:pPr>
        <w:spacing w:before="364" w:line="360" w:lineRule="auto"/>
        <w:rPr>
          <w:rFonts w:hAnsi="Calibri" w:cs="Times New Roman"/>
          <w:color w:val="000000"/>
          <w:sz w:val="28"/>
        </w:rPr>
      </w:pPr>
      <w:r w:rsidRPr="00CA1FC0">
        <w:rPr>
          <w:rFonts w:hAnsi="Calibri" w:cs="Times New Roman"/>
          <w:color w:val="000000"/>
          <w:sz w:val="28"/>
        </w:rPr>
        <w:t>一般防渗区</w:t>
      </w:r>
      <w:r>
        <w:rPr>
          <w:rFonts w:hAnsi="Calibri" w:cs="Times New Roman" w:hint="eastAsia"/>
          <w:color w:val="000000"/>
          <w:sz w:val="28"/>
        </w:rPr>
        <w:t>：</w:t>
      </w:r>
    </w:p>
    <w:p w:rsidR="00CA1FC0" w:rsidRPr="00CA1FC0" w:rsidRDefault="00CA1FC0" w:rsidP="00CA1FC0">
      <w:pPr>
        <w:spacing w:before="364" w:line="360" w:lineRule="auto"/>
        <w:ind w:firstLineChars="200" w:firstLine="560"/>
        <w:rPr>
          <w:rFonts w:hAnsi="Calibri" w:cs="Times New Roman"/>
          <w:color w:val="000000"/>
          <w:sz w:val="28"/>
        </w:rPr>
      </w:pPr>
      <w:r w:rsidRPr="00CA1FC0">
        <w:rPr>
          <w:rFonts w:hAnsi="Calibri" w:cs="Times New Roman" w:hint="eastAsia"/>
          <w:color w:val="000000"/>
          <w:sz w:val="28"/>
        </w:rPr>
        <w:t>指对地下水环境有污染的物料或污染物泄漏后，可及时发现和处理的区域或部位。本项目一般污染防治区为生产车间其他区域及普通原辅材料及成品仓库。该区防渗层的防渗性能应不低于</w:t>
      </w:r>
      <w:r w:rsidRPr="00CA1FC0">
        <w:rPr>
          <w:rFonts w:hAnsi="Calibri" w:cs="Times New Roman"/>
          <w:color w:val="000000"/>
          <w:sz w:val="28"/>
        </w:rPr>
        <w:t xml:space="preserve"> 1.5m 厚渗透系数为 1.0</w:t>
      </w:r>
      <w:r w:rsidRPr="00CA1FC0">
        <w:rPr>
          <w:rFonts w:hAnsi="Calibri" w:cs="Times New Roman"/>
          <w:color w:val="000000"/>
          <w:sz w:val="28"/>
        </w:rPr>
        <w:t>×</w:t>
      </w:r>
      <w:r w:rsidRPr="00CA1FC0">
        <w:rPr>
          <w:rFonts w:hAnsi="Calibri" w:cs="Times New Roman"/>
          <w:color w:val="000000"/>
          <w:sz w:val="28"/>
        </w:rPr>
        <w:t>10-10cm/s 的黏土层的防</w:t>
      </w:r>
      <w:r w:rsidRPr="00CA1FC0">
        <w:rPr>
          <w:rFonts w:hAnsi="Calibri" w:cs="Times New Roman" w:hint="eastAsia"/>
          <w:color w:val="000000"/>
          <w:sz w:val="28"/>
        </w:rPr>
        <w:t>渗性能。</w:t>
      </w:r>
    </w:p>
    <w:p w:rsidR="00CA1FC0" w:rsidRPr="00CA1FC0" w:rsidRDefault="00CA1FC0" w:rsidP="00CA1FC0">
      <w:pPr>
        <w:spacing w:before="364" w:line="360" w:lineRule="auto"/>
        <w:rPr>
          <w:rFonts w:hAnsi="Calibri" w:cs="Times New Roman"/>
          <w:color w:val="000000"/>
          <w:sz w:val="28"/>
        </w:rPr>
      </w:pPr>
      <w:r w:rsidRPr="00CA1FC0">
        <w:rPr>
          <w:rFonts w:hAnsi="Calibri" w:cs="Times New Roman"/>
          <w:color w:val="000000"/>
          <w:sz w:val="28"/>
        </w:rPr>
        <w:t>简单防渗区</w:t>
      </w:r>
      <w:r>
        <w:rPr>
          <w:rFonts w:hAnsi="Calibri" w:cs="Times New Roman" w:hint="eastAsia"/>
          <w:color w:val="000000"/>
          <w:sz w:val="28"/>
        </w:rPr>
        <w:t>：</w:t>
      </w:r>
    </w:p>
    <w:p w:rsidR="00CA1FC0" w:rsidRDefault="00CA1FC0" w:rsidP="00CA1FC0">
      <w:pPr>
        <w:spacing w:before="364" w:line="360" w:lineRule="auto"/>
        <w:ind w:firstLineChars="200" w:firstLine="560"/>
        <w:rPr>
          <w:rFonts w:hAnsi="Calibri" w:cs="Times New Roman"/>
          <w:color w:val="000000"/>
          <w:sz w:val="28"/>
        </w:rPr>
      </w:pPr>
      <w:r w:rsidRPr="00CA1FC0">
        <w:rPr>
          <w:rFonts w:hAnsi="Calibri" w:cs="Times New Roman" w:hint="eastAsia"/>
          <w:color w:val="000000"/>
          <w:sz w:val="28"/>
        </w:rPr>
        <w:t>一般和重点污染防治区以外的区域，如厂区道路、办公区、输电变电区等。防渗性能为一般地面硬化处理。</w:t>
      </w:r>
    </w:p>
    <w:p w:rsidR="00ED3975" w:rsidRPr="00ED3975" w:rsidRDefault="00ED3975" w:rsidP="00ED3975">
      <w:pPr>
        <w:spacing w:before="364" w:line="360" w:lineRule="auto"/>
        <w:rPr>
          <w:rFonts w:hAnsi="Calibri" w:cs="Times New Roman"/>
          <w:color w:val="000000"/>
          <w:sz w:val="28"/>
        </w:rPr>
      </w:pPr>
      <w:r>
        <w:rPr>
          <w:rFonts w:hAnsi="Calibri" w:cs="Times New Roman" w:hint="eastAsia"/>
          <w:color w:val="000000"/>
          <w:sz w:val="28"/>
        </w:rPr>
        <w:t>9</w:t>
      </w:r>
      <w:r w:rsidRPr="00ED3975">
        <w:rPr>
          <w:rFonts w:hAnsi="Calibri" w:cs="Times New Roman"/>
          <w:color w:val="000000"/>
          <w:sz w:val="28"/>
        </w:rPr>
        <w:t>、监测频次：每年一次。</w:t>
      </w:r>
    </w:p>
    <w:p w:rsidR="00ED3975" w:rsidRPr="00CA1FC0" w:rsidRDefault="006F08DD" w:rsidP="00ED3975">
      <w:pPr>
        <w:spacing w:before="364" w:line="360" w:lineRule="auto"/>
        <w:rPr>
          <w:rFonts w:hAnsi="Calibri" w:cs="Times New Roman"/>
          <w:color w:val="000000"/>
          <w:sz w:val="28"/>
        </w:rPr>
      </w:pPr>
      <w:r>
        <w:rPr>
          <w:rFonts w:hAnsi="Calibri" w:cs="Times New Roman" w:hint="eastAsia"/>
          <w:color w:val="000000"/>
          <w:sz w:val="28"/>
        </w:rPr>
        <w:t>10</w:t>
      </w:r>
      <w:r w:rsidR="00ED3975" w:rsidRPr="00ED3975">
        <w:rPr>
          <w:rFonts w:hAnsi="Calibri" w:cs="Times New Roman"/>
          <w:color w:val="000000"/>
          <w:sz w:val="28"/>
        </w:rPr>
        <w:t>、检测方式：委托第三方检测机构进行检测。</w:t>
      </w:r>
    </w:p>
    <w:p w:rsidR="00CD0CD3" w:rsidRDefault="006F08DD" w:rsidP="00372419">
      <w:pPr>
        <w:spacing w:before="364" w:line="360" w:lineRule="auto"/>
        <w:rPr>
          <w:rFonts w:hAnsi="Calibri" w:cs="Times New Roman"/>
          <w:color w:val="000000"/>
          <w:sz w:val="28"/>
        </w:rPr>
      </w:pPr>
      <w:r>
        <w:rPr>
          <w:rFonts w:hAnsi="Calibri" w:cs="Times New Roman" w:hint="eastAsia"/>
          <w:color w:val="000000"/>
          <w:sz w:val="28"/>
        </w:rPr>
        <w:t>11</w:t>
      </w:r>
      <w:r w:rsidR="0020305C">
        <w:rPr>
          <w:rFonts w:hAnsi="Calibri" w:cs="Times New Roman" w:hint="eastAsia"/>
          <w:color w:val="000000"/>
          <w:sz w:val="28"/>
        </w:rPr>
        <w:t>、土壤监测点位：厂区车间外及厂界四周。</w:t>
      </w:r>
    </w:p>
    <w:p w:rsidR="00372419" w:rsidRPr="00372419" w:rsidRDefault="00372419" w:rsidP="00372419">
      <w:pPr>
        <w:spacing w:before="364" w:line="360" w:lineRule="auto"/>
        <w:rPr>
          <w:rFonts w:hAnsi="Calibri" w:cs="Times New Roman"/>
          <w:color w:val="000000"/>
          <w:sz w:val="28"/>
        </w:rPr>
      </w:pPr>
      <w:r>
        <w:rPr>
          <w:rFonts w:hAnsi="Calibri" w:cs="Times New Roman"/>
          <w:color w:val="000000"/>
          <w:sz w:val="28"/>
        </w:rPr>
        <w:lastRenderedPageBreak/>
        <w:t>1</w:t>
      </w:r>
      <w:r w:rsidR="006F08DD">
        <w:rPr>
          <w:rFonts w:hAnsi="Calibri" w:cs="Times New Roman" w:hint="eastAsia"/>
          <w:color w:val="000000"/>
          <w:sz w:val="28"/>
        </w:rPr>
        <w:t>2</w:t>
      </w:r>
      <w:r>
        <w:rPr>
          <w:rFonts w:hAnsi="Calibri" w:cs="Times New Roman" w:hint="eastAsia"/>
          <w:color w:val="000000"/>
          <w:sz w:val="28"/>
        </w:rPr>
        <w:t>、</w:t>
      </w:r>
      <w:r w:rsidRPr="00372419">
        <w:rPr>
          <w:rFonts w:hAnsi="Calibri" w:cs="Times New Roman"/>
          <w:color w:val="000000"/>
          <w:sz w:val="28"/>
        </w:rPr>
        <w:t>监测项目</w:t>
      </w:r>
      <w:r>
        <w:rPr>
          <w:rFonts w:hAnsi="Calibri" w:cs="Times New Roman" w:hint="eastAsia"/>
          <w:color w:val="000000"/>
          <w:sz w:val="28"/>
        </w:rPr>
        <w:t>：</w:t>
      </w:r>
    </w:p>
    <w:p w:rsidR="00372419" w:rsidRDefault="00372419" w:rsidP="00372419">
      <w:pPr>
        <w:spacing w:before="364" w:line="360" w:lineRule="auto"/>
        <w:rPr>
          <w:rFonts w:hAnsi="Calibri" w:cs="Times New Roman"/>
          <w:color w:val="000000"/>
          <w:sz w:val="28"/>
        </w:rPr>
      </w:pPr>
      <w:r>
        <w:rPr>
          <w:rFonts w:hAnsi="Calibri" w:cs="Times New Roman" w:hint="eastAsia"/>
          <w:color w:val="000000"/>
          <w:sz w:val="28"/>
        </w:rPr>
        <w:t>（1）</w:t>
      </w:r>
      <w:r w:rsidRPr="00372419">
        <w:rPr>
          <w:rFonts w:hAnsi="Calibri" w:cs="Times New Roman" w:hint="eastAsia"/>
          <w:color w:val="000000"/>
          <w:sz w:val="28"/>
        </w:rPr>
        <w:t>监测项目为</w:t>
      </w:r>
      <w:r w:rsidRPr="00372419">
        <w:rPr>
          <w:rFonts w:hAnsi="Calibri" w:cs="Times New Roman"/>
          <w:color w:val="000000"/>
          <w:sz w:val="28"/>
        </w:rPr>
        <w:t xml:space="preserve"> pH、铜、锌、砷、镉、汞、铬、镍、</w:t>
      </w:r>
      <w:r w:rsidR="00ED3975">
        <w:rPr>
          <w:rFonts w:hAnsi="Calibri" w:cs="Times New Roman" w:hint="eastAsia"/>
          <w:color w:val="000000"/>
          <w:sz w:val="28"/>
        </w:rPr>
        <w:t>铅</w:t>
      </w:r>
      <w:r w:rsidRPr="00372419">
        <w:rPr>
          <w:rFonts w:hAnsi="Calibri" w:cs="Times New Roman"/>
          <w:color w:val="000000"/>
          <w:sz w:val="28"/>
        </w:rPr>
        <w:t xml:space="preserve">共计 </w:t>
      </w:r>
      <w:r w:rsidR="00ED3975">
        <w:rPr>
          <w:rFonts w:hAnsi="Calibri" w:cs="Times New Roman" w:hint="eastAsia"/>
          <w:color w:val="000000"/>
          <w:sz w:val="28"/>
        </w:rPr>
        <w:t>9</w:t>
      </w:r>
      <w:r w:rsidRPr="00372419">
        <w:rPr>
          <w:rFonts w:hAnsi="Calibri" w:cs="Times New Roman"/>
          <w:color w:val="000000"/>
          <w:sz w:val="28"/>
        </w:rPr>
        <w:t>项。</w:t>
      </w:r>
    </w:p>
    <w:p w:rsidR="00ED3975" w:rsidRPr="00ED3975" w:rsidRDefault="00ED3975" w:rsidP="00ED3975">
      <w:pPr>
        <w:spacing w:before="364" w:line="360" w:lineRule="auto"/>
        <w:rPr>
          <w:rFonts w:hAnsi="Calibri" w:cs="Times New Roman"/>
          <w:color w:val="000000"/>
          <w:sz w:val="28"/>
        </w:rPr>
      </w:pPr>
      <w:r w:rsidRPr="00ED3975">
        <w:rPr>
          <w:rFonts w:hAnsi="Calibri" w:cs="Times New Roman" w:hint="eastAsia"/>
          <w:color w:val="000000"/>
          <w:sz w:val="28"/>
        </w:rPr>
        <w:t>（</w:t>
      </w:r>
      <w:r w:rsidRPr="00ED3975">
        <w:rPr>
          <w:rFonts w:hAnsi="Calibri" w:cs="Times New Roman"/>
          <w:color w:val="000000"/>
          <w:sz w:val="28"/>
        </w:rPr>
        <w:t>2）评价标准</w:t>
      </w:r>
    </w:p>
    <w:p w:rsidR="00ED3975" w:rsidRPr="00ED3975" w:rsidRDefault="00ED3975" w:rsidP="006F08DD">
      <w:pPr>
        <w:spacing w:before="364" w:line="360" w:lineRule="auto"/>
        <w:ind w:firstLineChars="200" w:firstLine="560"/>
        <w:rPr>
          <w:rFonts w:hAnsi="Calibri" w:cs="Times New Roman"/>
          <w:color w:val="000000"/>
          <w:sz w:val="28"/>
        </w:rPr>
      </w:pPr>
      <w:r w:rsidRPr="00ED3975">
        <w:rPr>
          <w:rFonts w:hAnsi="Calibri" w:cs="Times New Roman" w:hint="eastAsia"/>
          <w:color w:val="000000"/>
          <w:sz w:val="28"/>
        </w:rPr>
        <w:t>评价区域内村屯的地表植被主要为农田，土壤环境质量执行《土壤环境质量标准》</w:t>
      </w:r>
      <w:r w:rsidRPr="00ED3975">
        <w:rPr>
          <w:rFonts w:hAnsi="Calibri" w:cs="Times New Roman"/>
          <w:color w:val="000000"/>
          <w:sz w:val="28"/>
        </w:rPr>
        <w:t>GB15618-1995 中</w:t>
      </w:r>
      <w:r w:rsidRPr="00ED3975">
        <w:rPr>
          <w:rFonts w:ascii="宋体" w:eastAsia="宋体" w:hAnsi="宋体" w:cs="宋体" w:hint="eastAsia"/>
          <w:color w:val="000000"/>
          <w:sz w:val="28"/>
        </w:rPr>
        <w:t>Ⅱ</w:t>
      </w:r>
      <w:r w:rsidRPr="00ED3975">
        <w:rPr>
          <w:rFonts w:hAnsi="Calibri" w:cs="Times New Roman"/>
          <w:color w:val="000000"/>
          <w:sz w:val="28"/>
        </w:rPr>
        <w:t>类标准。</w:t>
      </w:r>
    </w:p>
    <w:p w:rsidR="006F08DD" w:rsidRPr="00ED3975" w:rsidRDefault="00ED3975" w:rsidP="006F08DD">
      <w:pPr>
        <w:spacing w:before="364" w:line="360" w:lineRule="auto"/>
        <w:ind w:firstLineChars="200" w:firstLine="560"/>
        <w:rPr>
          <w:rFonts w:hAnsi="Calibri" w:cs="Times New Roman"/>
          <w:color w:val="000000"/>
          <w:sz w:val="28"/>
        </w:rPr>
      </w:pPr>
      <w:r w:rsidRPr="00ED3975">
        <w:rPr>
          <w:rFonts w:hAnsi="Calibri" w:cs="Times New Roman" w:hint="eastAsia"/>
          <w:color w:val="000000"/>
          <w:sz w:val="28"/>
        </w:rPr>
        <w:t>本项目所在地和东北侧空地均为工业用地，土壤环境执行《土壤环境质量建设用地土壤污染风险管控标准》（</w:t>
      </w:r>
      <w:r w:rsidRPr="00ED3975">
        <w:rPr>
          <w:rFonts w:hAnsi="Calibri" w:cs="Times New Roman"/>
          <w:color w:val="000000"/>
          <w:sz w:val="28"/>
        </w:rPr>
        <w:t>GB36600-2018）标准。</w:t>
      </w:r>
    </w:p>
    <w:p w:rsidR="00ED3975" w:rsidRPr="00ED3975" w:rsidRDefault="00ED3975" w:rsidP="00ED3975">
      <w:pPr>
        <w:spacing w:before="364" w:line="360" w:lineRule="auto"/>
        <w:rPr>
          <w:rFonts w:hAnsi="Calibri" w:cs="Times New Roman"/>
          <w:color w:val="000000"/>
          <w:sz w:val="28"/>
        </w:rPr>
      </w:pPr>
      <w:r w:rsidRPr="00ED3975">
        <w:rPr>
          <w:rFonts w:hAnsi="Calibri" w:cs="Times New Roman"/>
          <w:color w:val="000000"/>
          <w:sz w:val="28"/>
        </w:rPr>
        <w:t>6）评价方法</w:t>
      </w:r>
    </w:p>
    <w:p w:rsidR="00ED3975" w:rsidRDefault="00ED3975" w:rsidP="00ED3975">
      <w:pPr>
        <w:spacing w:before="364" w:line="360" w:lineRule="auto"/>
        <w:rPr>
          <w:rFonts w:hAnsi="Calibri" w:cs="Times New Roman"/>
          <w:color w:val="000000"/>
          <w:sz w:val="28"/>
        </w:rPr>
      </w:pPr>
      <w:r w:rsidRPr="00ED3975">
        <w:rPr>
          <w:rFonts w:hAnsi="Calibri" w:cs="Times New Roman" w:hint="eastAsia"/>
          <w:color w:val="000000"/>
          <w:sz w:val="28"/>
        </w:rPr>
        <w:t>采用单项标准指数法进行土壤环境质量评价</w:t>
      </w:r>
      <w:r w:rsidR="006F08DD">
        <w:rPr>
          <w:rFonts w:hAnsi="Calibri" w:cs="Times New Roman" w:hint="eastAsia"/>
          <w:color w:val="000000"/>
          <w:sz w:val="28"/>
        </w:rPr>
        <w:t>。</w:t>
      </w:r>
    </w:p>
    <w:p w:rsidR="006F08DD" w:rsidRDefault="006F08DD" w:rsidP="00ED3975">
      <w:pPr>
        <w:spacing w:before="364" w:line="360" w:lineRule="auto"/>
        <w:rPr>
          <w:rFonts w:hAnsi="Calibri" w:cs="Times New Roman"/>
          <w:color w:val="000000"/>
          <w:sz w:val="28"/>
        </w:rPr>
      </w:pPr>
      <w:r>
        <w:rPr>
          <w:rFonts w:hAnsi="Calibri" w:cs="Times New Roman" w:hint="eastAsia"/>
          <w:color w:val="000000"/>
          <w:sz w:val="28"/>
        </w:rPr>
        <w:t>土壤</w:t>
      </w:r>
      <w:r w:rsidRPr="006F08DD">
        <w:rPr>
          <w:rFonts w:hAnsi="Calibri" w:cs="Times New Roman" w:hint="eastAsia"/>
          <w:color w:val="000000"/>
          <w:sz w:val="28"/>
        </w:rPr>
        <w:t>污染防治措施</w:t>
      </w:r>
      <w:r>
        <w:rPr>
          <w:rFonts w:hAnsi="Calibri" w:cs="Times New Roman" w:hint="eastAsia"/>
          <w:color w:val="000000"/>
          <w:sz w:val="28"/>
        </w:rPr>
        <w:t>：</w:t>
      </w:r>
    </w:p>
    <w:p w:rsidR="006F08DD" w:rsidRPr="006F08DD" w:rsidRDefault="006F08DD" w:rsidP="006F08DD">
      <w:pPr>
        <w:pStyle w:val="a5"/>
        <w:numPr>
          <w:ilvl w:val="0"/>
          <w:numId w:val="4"/>
        </w:numPr>
        <w:spacing w:before="364" w:line="360" w:lineRule="auto"/>
        <w:ind w:firstLineChars="0"/>
        <w:rPr>
          <w:rFonts w:hAnsi="Calibri" w:cs="Times New Roman"/>
          <w:color w:val="000000"/>
          <w:sz w:val="28"/>
        </w:rPr>
      </w:pPr>
      <w:r w:rsidRPr="006F08DD">
        <w:rPr>
          <w:rFonts w:hAnsi="Calibri" w:cs="Times New Roman" w:hint="eastAsia"/>
          <w:color w:val="000000"/>
          <w:sz w:val="28"/>
        </w:rPr>
        <w:t>通过控制地下水污染从而达到控制土壤污染的目的。</w:t>
      </w:r>
    </w:p>
    <w:p w:rsidR="006F08DD" w:rsidRDefault="006F08DD" w:rsidP="006F08DD">
      <w:pPr>
        <w:pStyle w:val="a5"/>
        <w:numPr>
          <w:ilvl w:val="0"/>
          <w:numId w:val="4"/>
        </w:numPr>
        <w:spacing w:before="364" w:line="360" w:lineRule="auto"/>
        <w:ind w:firstLineChars="0"/>
        <w:rPr>
          <w:rFonts w:hAnsi="Calibri" w:cs="Times New Roman"/>
          <w:color w:val="000000"/>
          <w:sz w:val="28"/>
        </w:rPr>
      </w:pPr>
      <w:r>
        <w:rPr>
          <w:rFonts w:hAnsi="Calibri" w:cs="Times New Roman" w:hint="eastAsia"/>
          <w:color w:val="000000"/>
          <w:sz w:val="28"/>
        </w:rPr>
        <w:t>所有危险固体废弃全部集中贮存在危废库，防止污染土壤。</w:t>
      </w:r>
    </w:p>
    <w:p w:rsidR="006F08DD" w:rsidRPr="006F08DD" w:rsidRDefault="006F08DD" w:rsidP="006F08DD">
      <w:pPr>
        <w:pStyle w:val="a5"/>
        <w:numPr>
          <w:ilvl w:val="0"/>
          <w:numId w:val="4"/>
        </w:numPr>
        <w:spacing w:before="364" w:line="360" w:lineRule="auto"/>
        <w:ind w:firstLineChars="0"/>
        <w:rPr>
          <w:rFonts w:hAnsi="Calibri" w:cs="Times New Roman"/>
          <w:color w:val="000000"/>
          <w:sz w:val="28"/>
        </w:rPr>
      </w:pPr>
      <w:r>
        <w:rPr>
          <w:rFonts w:hAnsi="Calibri" w:cs="Times New Roman" w:hint="eastAsia"/>
          <w:color w:val="000000"/>
          <w:sz w:val="28"/>
        </w:rPr>
        <w:t>危险废物运输车全部采用篷布遮盖，防止雨淋及飞灰，从而达到防止土壤污染。</w:t>
      </w:r>
    </w:p>
    <w:p w:rsidR="00ED3975" w:rsidRDefault="00ED3975" w:rsidP="00372419">
      <w:pPr>
        <w:spacing w:before="364" w:line="360" w:lineRule="auto"/>
        <w:rPr>
          <w:rFonts w:hAnsi="Calibri" w:cs="Times New Roman"/>
          <w:color w:val="000000"/>
          <w:sz w:val="28"/>
        </w:rPr>
      </w:pPr>
      <w:bookmarkStart w:id="1" w:name="_Hlk80793122"/>
      <w:r>
        <w:rPr>
          <w:rFonts w:hAnsi="Calibri" w:cs="Times New Roman" w:hint="eastAsia"/>
          <w:color w:val="000000"/>
          <w:sz w:val="28"/>
        </w:rPr>
        <w:t>1</w:t>
      </w:r>
      <w:r w:rsidR="006F08DD">
        <w:rPr>
          <w:rFonts w:hAnsi="Calibri" w:cs="Times New Roman" w:hint="eastAsia"/>
          <w:color w:val="000000"/>
          <w:sz w:val="28"/>
        </w:rPr>
        <w:t>3</w:t>
      </w:r>
      <w:r>
        <w:rPr>
          <w:rFonts w:hAnsi="Calibri" w:cs="Times New Roman" w:hint="eastAsia"/>
          <w:color w:val="000000"/>
          <w:sz w:val="28"/>
        </w:rPr>
        <w:t>、监测频次：每年一次。</w:t>
      </w:r>
    </w:p>
    <w:p w:rsidR="00ED3975" w:rsidRDefault="00ED3975" w:rsidP="00372419">
      <w:pPr>
        <w:spacing w:before="364" w:line="360" w:lineRule="auto"/>
        <w:rPr>
          <w:rFonts w:hAnsi="Calibri" w:cs="Times New Roman"/>
          <w:color w:val="000000"/>
          <w:sz w:val="28"/>
        </w:rPr>
      </w:pPr>
      <w:r>
        <w:rPr>
          <w:rFonts w:hAnsi="Calibri" w:cs="Times New Roman" w:hint="eastAsia"/>
          <w:color w:val="000000"/>
          <w:sz w:val="28"/>
        </w:rPr>
        <w:lastRenderedPageBreak/>
        <w:t>1</w:t>
      </w:r>
      <w:r w:rsidR="006F08DD">
        <w:rPr>
          <w:rFonts w:hAnsi="Calibri" w:cs="Times New Roman" w:hint="eastAsia"/>
          <w:color w:val="000000"/>
          <w:sz w:val="28"/>
        </w:rPr>
        <w:t>4</w:t>
      </w:r>
      <w:r>
        <w:rPr>
          <w:rFonts w:hAnsi="Calibri" w:cs="Times New Roman" w:hint="eastAsia"/>
          <w:color w:val="000000"/>
          <w:sz w:val="28"/>
        </w:rPr>
        <w:t>、检测方式：委托第三方检测机构进行检测。</w:t>
      </w:r>
    </w:p>
    <w:p w:rsidR="00234E20" w:rsidRDefault="00234E20" w:rsidP="00372419">
      <w:pPr>
        <w:spacing w:before="364" w:line="360" w:lineRule="auto"/>
        <w:rPr>
          <w:rFonts w:hAnsi="Calibri" w:cs="Times New Roman"/>
          <w:color w:val="000000"/>
          <w:sz w:val="28"/>
        </w:rPr>
      </w:pPr>
    </w:p>
    <w:p w:rsidR="00234E20" w:rsidRDefault="00234E20" w:rsidP="00372419">
      <w:pPr>
        <w:spacing w:before="364" w:line="360" w:lineRule="auto"/>
        <w:rPr>
          <w:rFonts w:hAnsi="Calibri" w:cs="Times New Roman"/>
          <w:color w:val="000000"/>
          <w:sz w:val="28"/>
        </w:rPr>
      </w:pPr>
    </w:p>
    <w:p w:rsidR="00234E20" w:rsidRDefault="00234E20" w:rsidP="00372419">
      <w:pPr>
        <w:spacing w:before="364" w:line="360" w:lineRule="auto"/>
        <w:rPr>
          <w:rFonts w:hAnsi="Calibri" w:cs="Times New Roman"/>
          <w:color w:val="000000"/>
          <w:sz w:val="28"/>
        </w:rPr>
      </w:pPr>
    </w:p>
    <w:p w:rsidR="00234E20" w:rsidRDefault="00234E20" w:rsidP="00372419">
      <w:pPr>
        <w:spacing w:before="364" w:line="360" w:lineRule="auto"/>
        <w:rPr>
          <w:rFonts w:hAnsi="Calibri" w:cs="Times New Roman"/>
          <w:color w:val="000000"/>
          <w:sz w:val="28"/>
        </w:rPr>
      </w:pPr>
    </w:p>
    <w:p w:rsidR="00234E20" w:rsidRDefault="00234E20" w:rsidP="00372419">
      <w:pPr>
        <w:spacing w:before="364" w:line="360" w:lineRule="auto"/>
        <w:rPr>
          <w:rFonts w:hAnsi="Calibri" w:cs="Times New Roman"/>
          <w:color w:val="000000"/>
          <w:sz w:val="28"/>
        </w:rPr>
      </w:pPr>
    </w:p>
    <w:p w:rsidR="00234E20" w:rsidRDefault="00234E20" w:rsidP="00372419">
      <w:pPr>
        <w:spacing w:before="364" w:line="360" w:lineRule="auto"/>
        <w:rPr>
          <w:rFonts w:hAnsi="Calibri" w:cs="Times New Roman"/>
          <w:color w:val="000000"/>
          <w:sz w:val="28"/>
        </w:rPr>
      </w:pPr>
    </w:p>
    <w:p w:rsidR="00234E20" w:rsidRDefault="00234E20" w:rsidP="00372419">
      <w:pPr>
        <w:spacing w:before="364" w:line="360" w:lineRule="auto"/>
        <w:rPr>
          <w:rFonts w:hAnsi="Calibri" w:cs="Times New Roman"/>
          <w:color w:val="000000"/>
          <w:sz w:val="28"/>
        </w:rPr>
      </w:pPr>
    </w:p>
    <w:p w:rsidR="00234E20" w:rsidRDefault="00234E20" w:rsidP="00372419">
      <w:pPr>
        <w:spacing w:before="364" w:line="360" w:lineRule="auto"/>
        <w:rPr>
          <w:rFonts w:hAnsi="Calibri" w:cs="Times New Roman"/>
          <w:color w:val="000000"/>
          <w:sz w:val="28"/>
        </w:rPr>
      </w:pPr>
    </w:p>
    <w:p w:rsidR="00234E20" w:rsidRDefault="00234E20" w:rsidP="00372419">
      <w:pPr>
        <w:spacing w:before="364" w:line="360" w:lineRule="auto"/>
        <w:rPr>
          <w:rFonts w:hAnsi="Calibri" w:cs="Times New Roman"/>
          <w:color w:val="000000"/>
          <w:sz w:val="28"/>
        </w:rPr>
      </w:pPr>
    </w:p>
    <w:p w:rsidR="00234E20" w:rsidRDefault="00234E20" w:rsidP="00372419">
      <w:pPr>
        <w:spacing w:before="364" w:line="360" w:lineRule="auto"/>
        <w:rPr>
          <w:rFonts w:hAnsi="Calibri" w:cs="Times New Roman"/>
          <w:color w:val="000000"/>
          <w:sz w:val="28"/>
        </w:rPr>
      </w:pPr>
    </w:p>
    <w:p w:rsidR="00234E20" w:rsidRPr="00372419" w:rsidRDefault="00234E20" w:rsidP="00372419">
      <w:pPr>
        <w:spacing w:before="364" w:line="360" w:lineRule="auto"/>
        <w:rPr>
          <w:rFonts w:hAnsi="Calibri" w:cs="Times New Roman"/>
          <w:color w:val="000000"/>
          <w:sz w:val="28"/>
        </w:rPr>
      </w:pPr>
      <w:r>
        <w:rPr>
          <w:rFonts w:hAnsi="Calibri" w:cs="Times New Roman" w:hint="eastAsia"/>
          <w:color w:val="000000"/>
          <w:sz w:val="28"/>
        </w:rPr>
        <w:t xml:space="preserve"> </w:t>
      </w:r>
      <w:r>
        <w:rPr>
          <w:rFonts w:hAnsi="Calibri" w:cs="Times New Roman"/>
          <w:color w:val="000000"/>
          <w:sz w:val="28"/>
        </w:rPr>
        <w:t xml:space="preserve">                              </w:t>
      </w:r>
      <w:r>
        <w:rPr>
          <w:rFonts w:hAnsi="Calibri" w:cs="Times New Roman" w:hint="eastAsia"/>
          <w:color w:val="000000"/>
          <w:sz w:val="28"/>
        </w:rPr>
        <w:t>吉林省德龙科技环保有限公司</w:t>
      </w:r>
    </w:p>
    <w:bookmarkEnd w:id="1"/>
    <w:p w:rsidR="00CD0CD3" w:rsidRPr="00234E20" w:rsidRDefault="00234E20" w:rsidP="00D801F2">
      <w:pPr>
        <w:spacing w:before="364" w:line="360" w:lineRule="auto"/>
        <w:ind w:firstLineChars="200" w:firstLine="560"/>
        <w:rPr>
          <w:rFonts w:hAnsi="Calibri" w:cs="Times New Roman"/>
          <w:color w:val="000000"/>
          <w:sz w:val="28"/>
        </w:rPr>
      </w:pPr>
      <w:r>
        <w:rPr>
          <w:rFonts w:hAnsi="Calibri" w:cs="Times New Roman"/>
          <w:color w:val="000000"/>
          <w:sz w:val="28"/>
        </w:rPr>
        <w:t xml:space="preserve">                                  </w:t>
      </w:r>
      <w:r>
        <w:rPr>
          <w:rFonts w:hAnsi="Calibri" w:cs="Times New Roman" w:hint="eastAsia"/>
          <w:color w:val="000000"/>
          <w:sz w:val="28"/>
        </w:rPr>
        <w:t>2020年12月</w:t>
      </w:r>
    </w:p>
    <w:sectPr w:rsidR="00CD0CD3" w:rsidRPr="00234E20" w:rsidSect="00BF3B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87F" w:rsidRDefault="0008587F" w:rsidP="00793886">
      <w:r>
        <w:separator/>
      </w:r>
    </w:p>
  </w:endnote>
  <w:endnote w:type="continuationSeparator" w:id="0">
    <w:p w:rsidR="0008587F" w:rsidRDefault="0008587F" w:rsidP="00793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UOJAL+TimesNewRomanPSMT">
    <w:altName w:val="Leelawadee UI"/>
    <w:charset w:val="01"/>
    <w:family w:val="auto"/>
    <w:pitch w:val="variable"/>
    <w:sig w:usb0="00000000" w:usb1="01010101" w:usb2="01010101" w:usb3="01010101" w:csb0="01010101" w:csb1="01010101"/>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87F" w:rsidRDefault="0008587F" w:rsidP="00793886">
      <w:r>
        <w:separator/>
      </w:r>
    </w:p>
  </w:footnote>
  <w:footnote w:type="continuationSeparator" w:id="0">
    <w:p w:rsidR="0008587F" w:rsidRDefault="0008587F" w:rsidP="00793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62055"/>
    <w:multiLevelType w:val="hybridMultilevel"/>
    <w:tmpl w:val="BC8AAEFA"/>
    <w:lvl w:ilvl="0" w:tplc="BE623B60">
      <w:start w:val="1"/>
      <w:numFmt w:val="decimal"/>
      <w:lvlText w:val="%1、"/>
      <w:lvlJc w:val="left"/>
      <w:pPr>
        <w:ind w:left="720" w:hanging="720"/>
      </w:pPr>
      <w:rPr>
        <w:rFonts w:hint="default"/>
      </w:rPr>
    </w:lvl>
    <w:lvl w:ilvl="1" w:tplc="627A5584">
      <w:start w:val="1"/>
      <w:numFmt w:val="decimal"/>
      <w:lvlText w:val="%2、"/>
      <w:lvlJc w:val="left"/>
      <w:pPr>
        <w:ind w:left="1145"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4A6B0F"/>
    <w:multiLevelType w:val="hybridMultilevel"/>
    <w:tmpl w:val="AF2843D2"/>
    <w:lvl w:ilvl="0" w:tplc="D512A4B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3233FA8"/>
    <w:multiLevelType w:val="hybridMultilevel"/>
    <w:tmpl w:val="5712A5A2"/>
    <w:lvl w:ilvl="0" w:tplc="6C78B6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430CE5"/>
    <w:multiLevelType w:val="hybridMultilevel"/>
    <w:tmpl w:val="3968C272"/>
    <w:lvl w:ilvl="0" w:tplc="20FCA8F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5B2"/>
    <w:rsid w:val="0008587F"/>
    <w:rsid w:val="000D5039"/>
    <w:rsid w:val="0020305C"/>
    <w:rsid w:val="00234E20"/>
    <w:rsid w:val="002A3F2E"/>
    <w:rsid w:val="002E5B5C"/>
    <w:rsid w:val="003350C9"/>
    <w:rsid w:val="00372419"/>
    <w:rsid w:val="0048697D"/>
    <w:rsid w:val="004C68BF"/>
    <w:rsid w:val="004F2B4C"/>
    <w:rsid w:val="005575B2"/>
    <w:rsid w:val="006F08DD"/>
    <w:rsid w:val="00726266"/>
    <w:rsid w:val="00793886"/>
    <w:rsid w:val="00837A50"/>
    <w:rsid w:val="0086648C"/>
    <w:rsid w:val="00882E73"/>
    <w:rsid w:val="008A2DDF"/>
    <w:rsid w:val="009C7C5B"/>
    <w:rsid w:val="00AC53BC"/>
    <w:rsid w:val="00B41B87"/>
    <w:rsid w:val="00BD6C4C"/>
    <w:rsid w:val="00BF3B54"/>
    <w:rsid w:val="00CA1FC0"/>
    <w:rsid w:val="00CD0CD3"/>
    <w:rsid w:val="00D801F2"/>
    <w:rsid w:val="00E74D79"/>
    <w:rsid w:val="00E80401"/>
    <w:rsid w:val="00EC6FE7"/>
    <w:rsid w:val="00ED3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886"/>
    <w:rPr>
      <w:sz w:val="18"/>
      <w:szCs w:val="18"/>
    </w:rPr>
  </w:style>
  <w:style w:type="paragraph" w:styleId="a4">
    <w:name w:val="footer"/>
    <w:basedOn w:val="a"/>
    <w:link w:val="Char0"/>
    <w:uiPriority w:val="99"/>
    <w:unhideWhenUsed/>
    <w:rsid w:val="00793886"/>
    <w:pPr>
      <w:tabs>
        <w:tab w:val="center" w:pos="4153"/>
        <w:tab w:val="right" w:pos="8306"/>
      </w:tabs>
      <w:snapToGrid w:val="0"/>
      <w:jc w:val="left"/>
    </w:pPr>
    <w:rPr>
      <w:sz w:val="18"/>
      <w:szCs w:val="18"/>
    </w:rPr>
  </w:style>
  <w:style w:type="character" w:customStyle="1" w:styleId="Char0">
    <w:name w:val="页脚 Char"/>
    <w:basedOn w:val="a0"/>
    <w:link w:val="a4"/>
    <w:uiPriority w:val="99"/>
    <w:rsid w:val="00793886"/>
    <w:rPr>
      <w:sz w:val="18"/>
      <w:szCs w:val="18"/>
    </w:rPr>
  </w:style>
  <w:style w:type="paragraph" w:styleId="a5">
    <w:name w:val="List Paragraph"/>
    <w:basedOn w:val="a"/>
    <w:uiPriority w:val="34"/>
    <w:qFormat/>
    <w:rsid w:val="00AC53BC"/>
    <w:pPr>
      <w:ind w:firstLineChars="200" w:firstLine="420"/>
    </w:pPr>
  </w:style>
  <w:style w:type="paragraph" w:styleId="a6">
    <w:name w:val="Balloon Text"/>
    <w:basedOn w:val="a"/>
    <w:link w:val="Char1"/>
    <w:uiPriority w:val="99"/>
    <w:semiHidden/>
    <w:unhideWhenUsed/>
    <w:rsid w:val="003350C9"/>
    <w:rPr>
      <w:sz w:val="18"/>
      <w:szCs w:val="18"/>
    </w:rPr>
  </w:style>
  <w:style w:type="character" w:customStyle="1" w:styleId="Char1">
    <w:name w:val="批注框文本 Char"/>
    <w:basedOn w:val="a0"/>
    <w:link w:val="a6"/>
    <w:uiPriority w:val="99"/>
    <w:semiHidden/>
    <w:rsid w:val="003350C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11</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2021-08-25T01:58:00Z</dcterms:created>
  <dcterms:modified xsi:type="dcterms:W3CDTF">2021-08-25T08:32:00Z</dcterms:modified>
</cp:coreProperties>
</file>