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吉林省长春市德惠市米沙子镇人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88158763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_Toc914997890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_Toc914997890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_Toc237262956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_Toc237262956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_Toc62621807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_Toc62621807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91499789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加强万宝山事件纪念馆建设，保护利用历史文化资源，传承红色文化</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开展铁路护路宣传活动，做好铁路区域安全隐患的排查上报工作，提升居民铁路护路安全意识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引进畜牧养殖、商业百合种植等项目，带动群众致富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加强古梨园古树保护，做好历史变迁“活化石”“活文物”“活档案”的存续工作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23726295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6262180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F66FF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2025-06-30T10:35:15Z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969AABC516A26D7AE3F76168E1DEC4AE</vt:lpwstr>
  </property>
</Properties>
</file>