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3"/>
        <w:jc w:val="right"/>
        <w:rPr>
          <w:rFonts w:hint="eastAsia" w:ascii="Times New Roman" w:hAnsi="Times New Roman" w:eastAsia="楷体_GB2312" w:cs="Times New Roman"/>
          <w:b/>
          <w:color w:val="auto"/>
          <w:sz w:val="32"/>
          <w:szCs w:val="28"/>
          <w:lang w:eastAsia="zh-CN"/>
        </w:rPr>
      </w:pPr>
      <w:bookmarkStart w:id="0" w:name="_Hlk66089720"/>
      <w:r>
        <w:rPr>
          <w:rFonts w:ascii="Times New Roman" w:hAnsi="Times New Roman" w:eastAsia="楷体_GB2312" w:cs="Times New Roman"/>
          <w:b/>
          <w:color w:val="auto"/>
          <w:sz w:val="32"/>
          <w:szCs w:val="28"/>
        </w:rPr>
        <w:sym w:font="Wingdings 2" w:char="0052"/>
      </w:r>
      <w:r>
        <w:rPr>
          <w:rFonts w:hint="eastAsia" w:ascii="Times New Roman" w:hAnsi="Times New Roman" w:eastAsia="楷体_GB2312" w:cs="Times New Roman"/>
          <w:b/>
          <w:color w:val="auto"/>
          <w:sz w:val="32"/>
          <w:szCs w:val="28"/>
          <w:lang w:val="en-US" w:eastAsia="zh-CN"/>
        </w:rPr>
        <w:t>书面评审类</w:t>
      </w:r>
    </w:p>
    <w:p>
      <w:pPr>
        <w:spacing w:line="400" w:lineRule="exact"/>
        <w:ind w:firstLine="643"/>
        <w:jc w:val="right"/>
        <w:rPr>
          <w:rFonts w:hint="default" w:ascii="Times New Roman" w:hAnsi="Times New Roman" w:eastAsia="楷体_GB2312" w:cs="Times New Roman"/>
          <w:bCs/>
          <w:color w:val="auto"/>
          <w:szCs w:val="32"/>
          <w:lang w:val="en-US" w:eastAsia="zh-CN"/>
        </w:rPr>
      </w:pPr>
      <w:r>
        <w:rPr>
          <w:rFonts w:hint="eastAsia" w:ascii="Segoe UI Symbol" w:hAnsi="Segoe UI Symbol" w:eastAsia="楷体_GB2312" w:cs="Times New Roman"/>
          <w:b/>
          <w:color w:val="auto"/>
          <w:sz w:val="32"/>
          <w:szCs w:val="28"/>
          <w:lang w:eastAsia="zh-CN"/>
        </w:rPr>
        <w:t>□</w:t>
      </w:r>
      <w:r>
        <w:rPr>
          <w:rFonts w:hint="eastAsia" w:ascii="Times New Roman" w:hAnsi="Times New Roman" w:eastAsia="楷体_GB2312" w:cs="Times New Roman"/>
          <w:b/>
          <w:color w:val="auto"/>
          <w:sz w:val="32"/>
          <w:szCs w:val="28"/>
          <w:lang w:val="en-US" w:eastAsia="zh-CN"/>
        </w:rPr>
        <w:t>竞争答辩类</w:t>
      </w:r>
    </w:p>
    <w:p>
      <w:pPr>
        <w:pageBreakBefore w:val="0"/>
        <w:kinsoku/>
        <w:wordWrap/>
        <w:overflowPunct/>
        <w:topLinePunct w:val="0"/>
        <w:bidi w:val="0"/>
        <w:snapToGrid w:val="0"/>
        <w:spacing w:line="360" w:lineRule="auto"/>
        <w:jc w:val="center"/>
        <w:rPr>
          <w:rFonts w:hint="eastAsia" w:ascii="华文中宋" w:hAnsi="华文中宋" w:eastAsia="华文中宋"/>
          <w:b/>
          <w:bCs/>
          <w:color w:val="auto"/>
          <w:sz w:val="52"/>
          <w:szCs w:val="52"/>
        </w:rPr>
      </w:pPr>
    </w:p>
    <w:p>
      <w:pPr>
        <w:pageBreakBefore w:val="0"/>
        <w:kinsoku/>
        <w:wordWrap/>
        <w:overflowPunct/>
        <w:topLinePunct w:val="0"/>
        <w:bidi w:val="0"/>
        <w:snapToGrid w:val="0"/>
        <w:spacing w:line="360" w:lineRule="auto"/>
        <w:ind w:left="0" w:leftChars="0" w:firstLine="0" w:firstLineChars="0"/>
        <w:jc w:val="center"/>
        <w:rPr>
          <w:rFonts w:hint="eastAsia" w:ascii="华文中宋" w:hAnsi="华文中宋" w:eastAsia="华文中宋"/>
          <w:b/>
          <w:bCs/>
          <w:color w:val="auto"/>
          <w:sz w:val="52"/>
          <w:szCs w:val="52"/>
          <w:lang w:val="en-US" w:eastAsia="zh-CN"/>
        </w:rPr>
      </w:pPr>
    </w:p>
    <w:p>
      <w:pPr>
        <w:pageBreakBefore w:val="0"/>
        <w:kinsoku/>
        <w:wordWrap/>
        <w:overflowPunct/>
        <w:topLinePunct w:val="0"/>
        <w:bidi w:val="0"/>
        <w:snapToGrid w:val="0"/>
        <w:spacing w:line="360" w:lineRule="auto"/>
        <w:ind w:left="0" w:leftChars="0" w:firstLine="0" w:firstLineChars="0"/>
        <w:jc w:val="center"/>
        <w:outlineLvl w:val="0"/>
        <w:rPr>
          <w:rFonts w:hint="eastAsia" w:ascii="华文中宋" w:hAnsi="华文中宋" w:eastAsia="华文中宋"/>
          <w:b/>
          <w:bCs/>
          <w:color w:val="auto"/>
          <w:sz w:val="52"/>
          <w:szCs w:val="52"/>
          <w:lang w:val="en-US" w:eastAsia="zh-CN"/>
        </w:rPr>
      </w:pPr>
      <w:bookmarkStart w:id="1" w:name="_Toc17261"/>
      <w:bookmarkStart w:id="2" w:name="_Toc23106"/>
      <w:bookmarkStart w:id="3" w:name="_Toc2964"/>
      <w:bookmarkStart w:id="4" w:name="_Toc29956"/>
      <w:r>
        <w:rPr>
          <w:rFonts w:hint="eastAsia" w:ascii="华文中宋" w:hAnsi="华文中宋" w:eastAsia="华文中宋"/>
          <w:b/>
          <w:bCs/>
          <w:color w:val="auto"/>
          <w:sz w:val="52"/>
          <w:szCs w:val="52"/>
          <w:lang w:val="en-US" w:eastAsia="zh-CN"/>
        </w:rPr>
        <w:t>吉林省德惠市国家现代农业产业园</w:t>
      </w:r>
      <w:bookmarkEnd w:id="1"/>
      <w:bookmarkEnd w:id="2"/>
      <w:bookmarkEnd w:id="3"/>
      <w:bookmarkEnd w:id="4"/>
    </w:p>
    <w:p>
      <w:pPr>
        <w:pageBreakBefore w:val="0"/>
        <w:kinsoku/>
        <w:wordWrap/>
        <w:overflowPunct/>
        <w:topLinePunct w:val="0"/>
        <w:bidi w:val="0"/>
        <w:snapToGrid w:val="0"/>
        <w:spacing w:line="360" w:lineRule="auto"/>
        <w:ind w:left="0" w:leftChars="0" w:firstLine="0" w:firstLineChars="0"/>
        <w:jc w:val="center"/>
        <w:outlineLvl w:val="0"/>
        <w:rPr>
          <w:rFonts w:hint="default" w:ascii="华文中宋" w:hAnsi="华文中宋" w:eastAsia="华文中宋"/>
          <w:b/>
          <w:bCs/>
          <w:color w:val="auto"/>
          <w:sz w:val="52"/>
          <w:szCs w:val="52"/>
          <w:lang w:val="en-US" w:eastAsia="zh-CN"/>
        </w:rPr>
      </w:pPr>
      <w:bookmarkStart w:id="5" w:name="_Toc17276"/>
      <w:bookmarkStart w:id="6" w:name="_Toc7121"/>
      <w:bookmarkStart w:id="7" w:name="_Toc8319"/>
      <w:bookmarkStart w:id="8" w:name="_Toc5514"/>
      <w:r>
        <w:rPr>
          <w:rFonts w:hint="eastAsia" w:ascii="华文中宋" w:hAnsi="华文中宋" w:eastAsia="华文中宋"/>
          <w:b/>
          <w:bCs/>
          <w:color w:val="auto"/>
          <w:sz w:val="52"/>
          <w:szCs w:val="52"/>
          <w:lang w:val="en-US" w:eastAsia="zh-CN"/>
        </w:rPr>
        <w:t>中央财政奖补资金使用方案</w:t>
      </w:r>
      <w:bookmarkEnd w:id="5"/>
      <w:bookmarkEnd w:id="6"/>
      <w:bookmarkEnd w:id="7"/>
      <w:bookmarkEnd w:id="8"/>
    </w:p>
    <w:p>
      <w:pPr>
        <w:pStyle w:val="7"/>
        <w:pageBreakBefore w:val="0"/>
        <w:kinsoku/>
        <w:wordWrap/>
        <w:overflowPunct/>
        <w:topLinePunct w:val="0"/>
        <w:bidi w:val="0"/>
        <w:snapToGrid w:val="0"/>
        <w:spacing w:line="360" w:lineRule="auto"/>
        <w:rPr>
          <w:rFonts w:eastAsiaTheme="minorEastAsia"/>
          <w:b/>
          <w:color w:val="auto"/>
          <w:sz w:val="52"/>
          <w:szCs w:val="21"/>
        </w:rPr>
      </w:pPr>
    </w:p>
    <w:p>
      <w:pPr>
        <w:pStyle w:val="7"/>
        <w:pageBreakBefore w:val="0"/>
        <w:kinsoku/>
        <w:wordWrap/>
        <w:overflowPunct/>
        <w:topLinePunct w:val="0"/>
        <w:bidi w:val="0"/>
        <w:snapToGrid w:val="0"/>
        <w:spacing w:line="360" w:lineRule="auto"/>
        <w:rPr>
          <w:rFonts w:hint="eastAsia" w:eastAsiaTheme="minorEastAsia"/>
          <w:b/>
          <w:color w:val="auto"/>
          <w:sz w:val="52"/>
          <w:szCs w:val="21"/>
          <w:lang w:eastAsia="zh-CN"/>
        </w:rPr>
      </w:pPr>
    </w:p>
    <w:p>
      <w:pPr>
        <w:pStyle w:val="7"/>
        <w:pageBreakBefore w:val="0"/>
        <w:kinsoku/>
        <w:wordWrap/>
        <w:overflowPunct/>
        <w:topLinePunct w:val="0"/>
        <w:bidi w:val="0"/>
        <w:snapToGrid w:val="0"/>
        <w:spacing w:line="360" w:lineRule="auto"/>
        <w:rPr>
          <w:rFonts w:hint="eastAsia" w:eastAsiaTheme="minorEastAsia"/>
          <w:b/>
          <w:color w:val="auto"/>
          <w:sz w:val="52"/>
          <w:szCs w:val="21"/>
          <w:lang w:eastAsia="zh-CN"/>
        </w:rPr>
      </w:pPr>
    </w:p>
    <w:p>
      <w:pPr>
        <w:pStyle w:val="7"/>
        <w:pageBreakBefore w:val="0"/>
        <w:kinsoku/>
        <w:wordWrap/>
        <w:overflowPunct/>
        <w:topLinePunct w:val="0"/>
        <w:bidi w:val="0"/>
        <w:snapToGrid w:val="0"/>
        <w:spacing w:line="360" w:lineRule="auto"/>
        <w:rPr>
          <w:rFonts w:hint="eastAsia" w:eastAsiaTheme="minorEastAsia"/>
          <w:b/>
          <w:color w:val="auto"/>
          <w:sz w:val="52"/>
          <w:szCs w:val="21"/>
          <w:lang w:eastAsia="zh-CN"/>
        </w:rPr>
      </w:pPr>
    </w:p>
    <w:p>
      <w:pPr>
        <w:pStyle w:val="7"/>
        <w:pageBreakBefore w:val="0"/>
        <w:kinsoku/>
        <w:wordWrap/>
        <w:overflowPunct/>
        <w:topLinePunct w:val="0"/>
        <w:bidi w:val="0"/>
        <w:snapToGrid w:val="0"/>
        <w:spacing w:line="360" w:lineRule="auto"/>
        <w:rPr>
          <w:rFonts w:eastAsiaTheme="minorEastAsia"/>
          <w:b/>
          <w:color w:val="auto"/>
          <w:sz w:val="52"/>
          <w:szCs w:val="21"/>
        </w:rPr>
      </w:pPr>
    </w:p>
    <w:bookmarkEnd w:id="0"/>
    <w:p>
      <w:pPr>
        <w:pageBreakBefore w:val="0"/>
        <w:kinsoku/>
        <w:wordWrap/>
        <w:overflowPunct/>
        <w:topLinePunct w:val="0"/>
        <w:bidi w:val="0"/>
        <w:snapToGrid w:val="0"/>
        <w:spacing w:line="360" w:lineRule="auto"/>
        <w:ind w:left="0" w:leftChars="0" w:firstLine="0" w:firstLineChars="0"/>
        <w:jc w:val="center"/>
        <w:rPr>
          <w:rFonts w:hint="eastAsia" w:ascii="楷体_GB2312" w:eastAsia="楷体_GB2312"/>
          <w:b/>
          <w:bCs/>
          <w:color w:val="auto"/>
          <w:sz w:val="36"/>
          <w:szCs w:val="36"/>
        </w:rPr>
      </w:pPr>
      <w:r>
        <w:rPr>
          <w:rFonts w:hint="eastAsia" w:eastAsia="楷体_GB2312"/>
          <w:b/>
          <w:bCs/>
          <w:color w:val="auto"/>
          <w:sz w:val="36"/>
          <w:szCs w:val="36"/>
          <w:lang w:val="en-US" w:eastAsia="zh-CN"/>
        </w:rPr>
        <w:t>吉林</w:t>
      </w:r>
      <w:r>
        <w:rPr>
          <w:rFonts w:hint="eastAsia" w:ascii="楷体_GB2312" w:eastAsia="楷体_GB2312"/>
          <w:b/>
          <w:bCs/>
          <w:color w:val="auto"/>
          <w:sz w:val="36"/>
          <w:szCs w:val="36"/>
        </w:rPr>
        <w:t>省</w:t>
      </w:r>
      <w:r>
        <w:rPr>
          <w:rFonts w:hint="eastAsia" w:ascii="楷体_GB2312" w:eastAsia="楷体_GB2312"/>
          <w:b/>
          <w:bCs/>
          <w:color w:val="auto"/>
          <w:sz w:val="36"/>
          <w:szCs w:val="36"/>
          <w:lang w:val="en-US" w:eastAsia="zh-CN"/>
        </w:rPr>
        <w:t>长春</w:t>
      </w:r>
      <w:r>
        <w:rPr>
          <w:rFonts w:hint="eastAsia" w:ascii="楷体_GB2312" w:eastAsia="楷体_GB2312"/>
          <w:b/>
          <w:bCs/>
          <w:color w:val="auto"/>
          <w:sz w:val="36"/>
          <w:szCs w:val="36"/>
        </w:rPr>
        <w:t>市</w:t>
      </w:r>
    </w:p>
    <w:p>
      <w:pPr>
        <w:pageBreakBefore w:val="0"/>
        <w:kinsoku/>
        <w:wordWrap/>
        <w:overflowPunct/>
        <w:topLinePunct w:val="0"/>
        <w:bidi w:val="0"/>
        <w:snapToGrid w:val="0"/>
        <w:spacing w:line="360" w:lineRule="auto"/>
        <w:ind w:left="0" w:leftChars="0" w:firstLine="0" w:firstLineChars="0"/>
        <w:jc w:val="center"/>
        <w:rPr>
          <w:rFonts w:hint="eastAsia" w:eastAsia="楷体_GB2312"/>
          <w:b/>
          <w:bCs/>
          <w:color w:val="auto"/>
          <w:sz w:val="36"/>
          <w:szCs w:val="36"/>
          <w:lang w:val="en-US" w:eastAsia="zh-CN"/>
        </w:rPr>
      </w:pPr>
      <w:r>
        <w:rPr>
          <w:rFonts w:hint="eastAsia" w:ascii="楷体_GB2312" w:eastAsia="楷体_GB2312"/>
          <w:b/>
          <w:bCs/>
          <w:color w:val="auto"/>
          <w:sz w:val="36"/>
          <w:szCs w:val="36"/>
          <w:lang w:val="en-US" w:eastAsia="zh-CN"/>
        </w:rPr>
        <w:t>德惠市</w:t>
      </w:r>
    </w:p>
    <w:p>
      <w:pPr>
        <w:pageBreakBefore w:val="0"/>
        <w:kinsoku/>
        <w:wordWrap/>
        <w:overflowPunct/>
        <w:topLinePunct w:val="0"/>
        <w:bidi w:val="0"/>
        <w:snapToGrid w:val="0"/>
        <w:spacing w:line="360" w:lineRule="auto"/>
        <w:ind w:left="0" w:leftChars="0" w:firstLine="0" w:firstLineChars="0"/>
        <w:jc w:val="center"/>
        <w:rPr>
          <w:rFonts w:eastAsia="黑体"/>
          <w:color w:val="auto"/>
          <w:sz w:val="32"/>
          <w:szCs w:val="32"/>
        </w:rPr>
      </w:pPr>
      <w:r>
        <w:rPr>
          <w:rFonts w:eastAsia="楷体_GB2312"/>
          <w:b/>
          <w:bCs/>
          <w:color w:val="auto"/>
          <w:sz w:val="36"/>
          <w:szCs w:val="36"/>
        </w:rPr>
        <w:t>20</w:t>
      </w:r>
      <w:r>
        <w:rPr>
          <w:rFonts w:hint="eastAsia" w:eastAsia="楷体_GB2312"/>
          <w:b/>
          <w:bCs/>
          <w:color w:val="auto"/>
          <w:sz w:val="36"/>
          <w:szCs w:val="36"/>
        </w:rPr>
        <w:t>2</w:t>
      </w:r>
      <w:r>
        <w:rPr>
          <w:rFonts w:hint="eastAsia" w:eastAsia="楷体_GB2312"/>
          <w:b/>
          <w:bCs/>
          <w:color w:val="auto"/>
          <w:sz w:val="36"/>
          <w:szCs w:val="36"/>
          <w:lang w:val="en-US" w:eastAsia="zh-CN"/>
        </w:rPr>
        <w:t>4</w:t>
      </w:r>
      <w:r>
        <w:rPr>
          <w:rFonts w:hint="eastAsia" w:ascii="楷体_GB2312" w:eastAsia="楷体_GB2312"/>
          <w:b/>
          <w:bCs/>
          <w:color w:val="auto"/>
          <w:sz w:val="36"/>
          <w:szCs w:val="36"/>
        </w:rPr>
        <w:t>年</w:t>
      </w:r>
      <w:r>
        <w:rPr>
          <w:rFonts w:hint="eastAsia" w:eastAsia="楷体_GB2312"/>
          <w:b/>
          <w:bCs/>
          <w:color w:val="auto"/>
          <w:sz w:val="36"/>
          <w:szCs w:val="36"/>
          <w:lang w:val="en-US" w:eastAsia="zh-CN"/>
        </w:rPr>
        <w:t>5</w:t>
      </w:r>
      <w:r>
        <w:rPr>
          <w:rFonts w:hint="eastAsia" w:ascii="楷体_GB2312" w:eastAsia="楷体_GB2312"/>
          <w:b/>
          <w:bCs/>
          <w:color w:val="auto"/>
          <w:sz w:val="36"/>
          <w:szCs w:val="36"/>
        </w:rPr>
        <w:t>月</w:t>
      </w:r>
      <w:r>
        <w:rPr>
          <w:rFonts w:hint="eastAsia" w:eastAsia="楷体_GB2312"/>
          <w:b/>
          <w:bCs/>
          <w:color w:val="auto"/>
          <w:sz w:val="36"/>
          <w:szCs w:val="36"/>
          <w:lang w:val="en-US" w:eastAsia="zh-CN"/>
        </w:rPr>
        <w:t>24</w:t>
      </w:r>
      <w:r>
        <w:rPr>
          <w:rFonts w:hint="eastAsia" w:ascii="楷体_GB2312" w:eastAsia="楷体_GB2312"/>
          <w:b/>
          <w:bCs/>
          <w:color w:val="auto"/>
          <w:sz w:val="36"/>
          <w:szCs w:val="36"/>
        </w:rPr>
        <w:t>日</w:t>
      </w:r>
    </w:p>
    <w:p>
      <w:pPr>
        <w:ind w:left="0" w:leftChars="0" w:firstLine="0" w:firstLineChars="0"/>
        <w:jc w:val="center"/>
        <w:rPr>
          <w:rFonts w:hint="eastAsia"/>
          <w:b/>
          <w:bCs/>
          <w:color w:val="auto"/>
          <w:lang w:val="en-US" w:eastAsia="zh-CN"/>
        </w:rPr>
        <w:sectPr>
          <w:pgSz w:w="11906" w:h="16838"/>
          <w:pgMar w:top="1440" w:right="1800" w:bottom="1440" w:left="1800" w:header="851" w:footer="992" w:gutter="0"/>
          <w:cols w:space="425" w:num="1"/>
          <w:docGrid w:type="lines" w:linePitch="312" w:charSpace="0"/>
        </w:sectPr>
      </w:pPr>
    </w:p>
    <w:p>
      <w:pPr>
        <w:ind w:left="0" w:leftChars="0" w:firstLine="0" w:firstLineChars="0"/>
        <w:jc w:val="center"/>
        <w:rPr>
          <w:rFonts w:hint="eastAsia"/>
          <w:b/>
          <w:bCs/>
          <w:color w:val="auto"/>
          <w:lang w:val="en-US" w:eastAsia="zh-CN"/>
        </w:rPr>
      </w:pPr>
      <w:r>
        <w:rPr>
          <w:rFonts w:hint="eastAsia"/>
          <w:b/>
          <w:bCs/>
          <w:color w:val="auto"/>
          <w:lang w:val="en-US" w:eastAsia="zh-CN"/>
        </w:rPr>
        <w:t>目  录</w:t>
      </w:r>
    </w:p>
    <w:p>
      <w:pPr>
        <w:ind w:firstLine="640" w:firstLineChars="200"/>
        <w:rPr>
          <w:rFonts w:hint="eastAsia" w:ascii="仿宋" w:hAnsi="仿宋" w:eastAsia="仿宋" w:cs="仿宋"/>
          <w:color w:val="auto"/>
          <w:sz w:val="32"/>
          <w:szCs w:val="32"/>
        </w:rPr>
      </w:pPr>
      <w:bookmarkStart w:id="9" w:name="_Toc22851"/>
      <w:bookmarkStart w:id="10" w:name="_Toc2147168439"/>
    </w:p>
    <w:sdt>
      <w:sdtPr>
        <w:rPr>
          <w:rFonts w:ascii="宋体" w:hAnsi="宋体" w:eastAsia="宋体" w:cstheme="minorBidi"/>
          <w:color w:val="auto"/>
          <w:kern w:val="2"/>
          <w:sz w:val="21"/>
          <w:szCs w:val="22"/>
          <w:lang w:val="en-US" w:eastAsia="zh-CN" w:bidi="ar-SA"/>
        </w:rPr>
        <w:id w:val="147466475"/>
        <w15:color w:val="DBDBDB"/>
        <w:docPartObj>
          <w:docPartGallery w:val="Table of Contents"/>
          <w:docPartUnique/>
        </w:docPartObj>
      </w:sdtPr>
      <w:sdtEndPr>
        <w:rPr>
          <w:rFonts w:hint="eastAsia" w:ascii="Times New Roman" w:hAnsi="Times New Roman" w:eastAsia="仿宋" w:cstheme="minorBidi"/>
          <w:b/>
          <w:color w:val="auto"/>
          <w:kern w:val="2"/>
          <w:sz w:val="32"/>
          <w:szCs w:val="22"/>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楷体" w:cs="Times New Roman"/>
              <w:color w:val="auto"/>
              <w:sz w:val="32"/>
              <w:szCs w:val="32"/>
            </w:rPr>
            <w:fldChar w:fldCharType="begin"/>
          </w:r>
          <w:r>
            <w:rPr>
              <w:rFonts w:hint="default" w:ascii="Times New Roman" w:hAnsi="Times New Roman" w:eastAsia="楷体" w:cs="Times New Roman"/>
              <w:color w:val="auto"/>
              <w:sz w:val="32"/>
              <w:szCs w:val="32"/>
            </w:rPr>
            <w:instrText xml:space="preserve">TOC \o "1-2" \h \u </w:instrText>
          </w:r>
          <w:r>
            <w:rPr>
              <w:rFonts w:hint="default" w:ascii="Times New Roman" w:hAnsi="Times New Roman" w:eastAsia="楷体" w:cs="Times New Roman"/>
              <w:color w:val="auto"/>
              <w:sz w:val="32"/>
              <w:szCs w:val="32"/>
            </w:rPr>
            <w:fldChar w:fldCharType="separate"/>
          </w: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_Toc6348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一、产业园基本情况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_Toc6348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_Toc19599 </w:instrText>
          </w:r>
          <w:r>
            <w:rPr>
              <w:rFonts w:hint="default" w:ascii="Times New Roman" w:hAnsi="Times New Roman" w:eastAsia="楷体" w:cs="Times New Roman"/>
              <w:szCs w:val="32"/>
            </w:rPr>
            <w:fldChar w:fldCharType="separate"/>
          </w:r>
          <w:r>
            <w:rPr>
              <w:rFonts w:hint="eastAsia" w:eastAsia="楷体" w:cs="Times New Roman"/>
              <w:bCs/>
              <w:lang w:val="en-US" w:eastAsia="zh-CN"/>
            </w:rPr>
            <w:t>（一）产业园名称</w:t>
          </w:r>
          <w:r>
            <w:tab/>
          </w:r>
          <w:r>
            <w:fldChar w:fldCharType="begin"/>
          </w:r>
          <w:r>
            <w:instrText xml:space="preserve"> PAGEREF _Toc19599 \h </w:instrText>
          </w:r>
          <w:r>
            <w:fldChar w:fldCharType="separate"/>
          </w:r>
          <w:r>
            <w:t>1</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_Toc14752 </w:instrText>
          </w:r>
          <w:r>
            <w:rPr>
              <w:rFonts w:hint="default" w:ascii="Times New Roman" w:hAnsi="Times New Roman" w:eastAsia="楷体" w:cs="Times New Roman"/>
              <w:szCs w:val="32"/>
            </w:rPr>
            <w:fldChar w:fldCharType="separate"/>
          </w:r>
          <w:r>
            <w:rPr>
              <w:rFonts w:hint="eastAsia" w:eastAsia="楷体" w:cs="Times New Roman"/>
              <w:bCs/>
              <w:lang w:val="en-US" w:eastAsia="zh-CN"/>
            </w:rPr>
            <w:t>（二）</w:t>
          </w:r>
          <w:r>
            <w:rPr>
              <w:rFonts w:hint="eastAsia" w:ascii="Times New Roman" w:hAnsi="Times New Roman" w:eastAsia="楷体" w:cs="Times New Roman"/>
              <w:bCs/>
              <w:lang w:val="en-US" w:eastAsia="zh-CN"/>
            </w:rPr>
            <w:t>产业园建设范围</w:t>
          </w:r>
          <w:r>
            <w:tab/>
          </w:r>
          <w:r>
            <w:fldChar w:fldCharType="begin"/>
          </w:r>
          <w:r>
            <w:instrText xml:space="preserve"> PAGEREF _Toc14752 \h </w:instrText>
          </w:r>
          <w:r>
            <w:fldChar w:fldCharType="separate"/>
          </w:r>
          <w:r>
            <w:t>1</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_Toc12049 </w:instrText>
          </w:r>
          <w:r>
            <w:rPr>
              <w:rFonts w:hint="default" w:ascii="Times New Roman" w:hAnsi="Times New Roman" w:eastAsia="楷体" w:cs="Times New Roman"/>
              <w:szCs w:val="32"/>
            </w:rPr>
            <w:fldChar w:fldCharType="separate"/>
          </w:r>
          <w:r>
            <w:rPr>
              <w:rFonts w:hint="eastAsia" w:eastAsia="楷体" w:cs="Times New Roman"/>
              <w:bCs/>
              <w:lang w:val="en-US" w:eastAsia="zh-CN"/>
            </w:rPr>
            <w:t>（三）</w:t>
          </w:r>
          <w:r>
            <w:rPr>
              <w:rFonts w:hint="eastAsia" w:ascii="Times New Roman" w:hAnsi="Times New Roman" w:eastAsia="楷体" w:cs="Times New Roman"/>
              <w:bCs/>
              <w:lang w:val="en-US" w:eastAsia="zh-CN"/>
            </w:rPr>
            <w:t>产业园基本情况</w:t>
          </w:r>
          <w:r>
            <w:tab/>
          </w:r>
          <w:r>
            <w:fldChar w:fldCharType="begin"/>
          </w:r>
          <w:r>
            <w:instrText xml:space="preserve"> PAGEREF _Toc12049 \h </w:instrText>
          </w:r>
          <w:r>
            <w:fldChar w:fldCharType="separate"/>
          </w:r>
          <w:r>
            <w:t>1</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_Toc22467 </w:instrText>
          </w:r>
          <w:r>
            <w:rPr>
              <w:rFonts w:hint="default" w:ascii="Times New Roman" w:hAnsi="Times New Roman" w:eastAsia="楷体" w:cs="Times New Roman"/>
              <w:szCs w:val="32"/>
            </w:rPr>
            <w:fldChar w:fldCharType="separate"/>
          </w:r>
          <w:r>
            <w:rPr>
              <w:rFonts w:hint="eastAsia" w:eastAsia="楷体" w:cs="Times New Roman"/>
              <w:bCs/>
              <w:lang w:val="en-US" w:eastAsia="zh-CN"/>
            </w:rPr>
            <w:t>（四）</w:t>
          </w:r>
          <w:r>
            <w:rPr>
              <w:rFonts w:hint="eastAsia" w:ascii="Times New Roman" w:hAnsi="Times New Roman" w:eastAsia="楷体" w:cs="Times New Roman"/>
              <w:bCs/>
              <w:lang w:val="en-US" w:eastAsia="zh-CN"/>
            </w:rPr>
            <w:t>主导产业</w:t>
          </w:r>
          <w:r>
            <w:rPr>
              <w:rFonts w:hint="eastAsia" w:eastAsia="楷体" w:cs="Times New Roman"/>
              <w:bCs/>
              <w:lang w:val="en-US" w:eastAsia="zh-CN"/>
            </w:rPr>
            <w:t>概况</w:t>
          </w:r>
          <w:r>
            <w:tab/>
          </w:r>
          <w:r>
            <w:fldChar w:fldCharType="begin"/>
          </w:r>
          <w:r>
            <w:instrText xml:space="preserve"> PAGEREF _Toc22467 \h </w:instrText>
          </w:r>
          <w:r>
            <w:fldChar w:fldCharType="separate"/>
          </w:r>
          <w:r>
            <w:t>3</w:t>
          </w:r>
          <w:r>
            <w:fldChar w:fldCharType="end"/>
          </w:r>
          <w:r>
            <w:rPr>
              <w:rFonts w:hint="default" w:ascii="Times New Roman" w:hAnsi="Times New Roman" w:eastAsia="楷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_Toc17864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二、中央财政奖补资金使用原则</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_Toc17864 \h </w:instrText>
          </w:r>
          <w:r>
            <w:rPr>
              <w:rFonts w:hint="default" w:ascii="Times New Roman" w:hAnsi="Times New Roman" w:eastAsia="黑体" w:cs="Times New Roman"/>
            </w:rPr>
            <w:fldChar w:fldCharType="separate"/>
          </w:r>
          <w:r>
            <w:rPr>
              <w:rFonts w:hint="default" w:ascii="Times New Roman" w:hAnsi="Times New Roman" w:eastAsia="黑体" w:cs="Times New Roman"/>
            </w:rPr>
            <w:t>5</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_Toc31194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三、 中央财政奖补资金支持内容</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_Toc31194 \h </w:instrText>
          </w:r>
          <w:r>
            <w:rPr>
              <w:rFonts w:hint="default" w:ascii="Times New Roman" w:hAnsi="Times New Roman" w:eastAsia="黑体" w:cs="Times New Roman"/>
            </w:rPr>
            <w:fldChar w:fldCharType="separate"/>
          </w:r>
          <w:r>
            <w:rPr>
              <w:rFonts w:hint="default" w:ascii="Times New Roman" w:hAnsi="Times New Roman" w:eastAsia="黑体" w:cs="Times New Roman"/>
            </w:rPr>
            <w:t>7</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_Toc32756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（一）产业链供应链完善提升工程</w:t>
          </w:r>
          <w:r>
            <w:tab/>
          </w:r>
          <w:r>
            <w:fldChar w:fldCharType="begin"/>
          </w:r>
          <w:r>
            <w:instrText xml:space="preserve"> PAGEREF _Toc32756 \h </w:instrText>
          </w:r>
          <w:r>
            <w:fldChar w:fldCharType="separate"/>
          </w:r>
          <w:r>
            <w:t>7</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_Toc28833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w:t>
          </w:r>
          <w:r>
            <w:rPr>
              <w:rFonts w:hint="eastAsia" w:eastAsia="楷体" w:cs="Times New Roman"/>
              <w:bCs/>
              <w:lang w:val="en-US" w:eastAsia="zh-CN"/>
            </w:rPr>
            <w:t>二</w:t>
          </w:r>
          <w:r>
            <w:rPr>
              <w:rFonts w:hint="eastAsia" w:ascii="Times New Roman" w:hAnsi="Times New Roman" w:eastAsia="楷体" w:cs="Times New Roman"/>
              <w:bCs/>
              <w:lang w:val="en-US" w:eastAsia="zh-CN"/>
            </w:rPr>
            <w:t>）科技创新平台建设工程</w:t>
          </w:r>
          <w:r>
            <w:tab/>
          </w:r>
          <w:r>
            <w:fldChar w:fldCharType="begin"/>
          </w:r>
          <w:r>
            <w:instrText xml:space="preserve"> PAGEREF _Toc28833 \h </w:instrText>
          </w:r>
          <w:r>
            <w:fldChar w:fldCharType="separate"/>
          </w:r>
          <w:r>
            <w:t>8</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_Toc6107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w:t>
          </w:r>
          <w:r>
            <w:rPr>
              <w:rFonts w:hint="eastAsia" w:eastAsia="楷体" w:cs="Times New Roman"/>
              <w:bCs/>
              <w:lang w:val="en-US" w:eastAsia="zh-CN"/>
            </w:rPr>
            <w:t>三</w:t>
          </w:r>
          <w:r>
            <w:rPr>
              <w:rFonts w:hint="eastAsia" w:ascii="Times New Roman" w:hAnsi="Times New Roman" w:eastAsia="楷体" w:cs="Times New Roman"/>
              <w:bCs/>
              <w:lang w:val="en-US" w:eastAsia="zh-CN"/>
            </w:rPr>
            <w:t>）</w:t>
          </w:r>
          <w:r>
            <w:rPr>
              <w:rFonts w:hint="eastAsia" w:eastAsia="楷体" w:cs="Times New Roman"/>
              <w:bCs/>
              <w:lang w:val="en-US" w:eastAsia="zh-CN"/>
            </w:rPr>
            <w:t>联农带农增收</w:t>
          </w:r>
          <w:r>
            <w:rPr>
              <w:rFonts w:hint="eastAsia" w:ascii="Times New Roman" w:hAnsi="Times New Roman" w:eastAsia="楷体" w:cs="Times New Roman"/>
              <w:bCs/>
              <w:lang w:val="en-US" w:eastAsia="zh-CN"/>
            </w:rPr>
            <w:t>工程</w:t>
          </w:r>
          <w:r>
            <w:tab/>
          </w:r>
          <w:r>
            <w:fldChar w:fldCharType="begin"/>
          </w:r>
          <w:r>
            <w:instrText xml:space="preserve"> PAGEREF _Toc6107 \h </w:instrText>
          </w:r>
          <w:r>
            <w:fldChar w:fldCharType="separate"/>
          </w:r>
          <w:r>
            <w:t>11</w:t>
          </w:r>
          <w:r>
            <w:fldChar w:fldCharType="end"/>
          </w:r>
          <w:r>
            <w:rPr>
              <w:rFonts w:hint="default" w:ascii="Times New Roman" w:hAnsi="Times New Roman" w:eastAsia="楷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_Toc28639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四、 中央财政奖补资金年度投资计划</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_Toc28639 \h </w:instrText>
          </w:r>
          <w:r>
            <w:rPr>
              <w:rFonts w:hint="default" w:ascii="Times New Roman" w:hAnsi="Times New Roman" w:eastAsia="黑体" w:cs="Times New Roman"/>
            </w:rPr>
            <w:fldChar w:fldCharType="separate"/>
          </w:r>
          <w:r>
            <w:rPr>
              <w:rFonts w:hint="default" w:ascii="Times New Roman" w:hAnsi="Times New Roman" w:eastAsia="黑体" w:cs="Times New Roman"/>
            </w:rPr>
            <w:t>12</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_Toc4718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五、预期效益分析</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_Toc4718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17</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_Toc12253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（一）</w:t>
          </w:r>
          <w:r>
            <w:rPr>
              <w:rFonts w:hint="eastAsia" w:eastAsia="楷体" w:cs="Times New Roman"/>
              <w:bCs/>
              <w:lang w:val="en-US" w:eastAsia="zh-CN"/>
            </w:rPr>
            <w:t>经济效益</w:t>
          </w:r>
          <w:r>
            <w:tab/>
          </w:r>
          <w:r>
            <w:fldChar w:fldCharType="begin"/>
          </w:r>
          <w:r>
            <w:instrText xml:space="preserve"> PAGEREF _Toc12253 \h </w:instrText>
          </w:r>
          <w:r>
            <w:fldChar w:fldCharType="separate"/>
          </w:r>
          <w:r>
            <w:t>17</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_Toc31088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（二） 社会效益</w:t>
          </w:r>
          <w:r>
            <w:tab/>
          </w:r>
          <w:r>
            <w:fldChar w:fldCharType="begin"/>
          </w:r>
          <w:r>
            <w:instrText xml:space="preserve"> PAGEREF _Toc31088 \h </w:instrText>
          </w:r>
          <w:r>
            <w:fldChar w:fldCharType="separate"/>
          </w:r>
          <w:r>
            <w:t>17</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_Toc25476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（三）生态效益</w:t>
          </w:r>
          <w:r>
            <w:tab/>
          </w:r>
          <w:r>
            <w:fldChar w:fldCharType="begin"/>
          </w:r>
          <w:r>
            <w:instrText xml:space="preserve"> PAGEREF _Toc25476 \h </w:instrText>
          </w:r>
          <w:r>
            <w:fldChar w:fldCharType="separate"/>
          </w:r>
          <w:r>
            <w:t>18</w:t>
          </w:r>
          <w:r>
            <w:fldChar w:fldCharType="end"/>
          </w:r>
          <w:r>
            <w:rPr>
              <w:rFonts w:hint="default" w:ascii="Times New Roman" w:hAnsi="Times New Roman" w:eastAsia="楷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_Toc2956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六、绩效管理措施</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_Toc2956 \h </w:instrText>
          </w:r>
          <w:r>
            <w:rPr>
              <w:rFonts w:hint="default" w:ascii="Times New Roman" w:hAnsi="Times New Roman" w:eastAsia="黑体" w:cs="Times New Roman"/>
            </w:rPr>
            <w:fldChar w:fldCharType="separate"/>
          </w:r>
          <w:r>
            <w:rPr>
              <w:rFonts w:hint="default" w:ascii="Times New Roman" w:hAnsi="Times New Roman" w:eastAsia="黑体" w:cs="Times New Roman"/>
            </w:rPr>
            <w:t>18</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_Toc28827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（一）</w:t>
          </w:r>
          <w:r>
            <w:rPr>
              <w:rFonts w:hint="eastAsia" w:eastAsia="楷体" w:cs="Times New Roman"/>
              <w:bCs/>
              <w:lang w:val="en-US" w:eastAsia="zh-CN"/>
            </w:rPr>
            <w:t>使用监管办法</w:t>
          </w:r>
          <w:r>
            <w:tab/>
          </w:r>
          <w:r>
            <w:fldChar w:fldCharType="begin"/>
          </w:r>
          <w:r>
            <w:instrText xml:space="preserve"> PAGEREF _Toc28827 \h </w:instrText>
          </w:r>
          <w:r>
            <w:fldChar w:fldCharType="separate"/>
          </w:r>
          <w:r>
            <w:t>18</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_Toc14890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（二）绩效评价</w:t>
          </w:r>
          <w:r>
            <w:tab/>
          </w:r>
          <w:r>
            <w:fldChar w:fldCharType="begin"/>
          </w:r>
          <w:r>
            <w:instrText xml:space="preserve"> PAGEREF _Toc14890 \h </w:instrText>
          </w:r>
          <w:r>
            <w:fldChar w:fldCharType="separate"/>
          </w:r>
          <w:r>
            <w:t>19</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_Toc694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（三）中央财政奖补资金使用管理办法</w:t>
          </w:r>
          <w:r>
            <w:tab/>
          </w:r>
          <w:r>
            <w:fldChar w:fldCharType="begin"/>
          </w:r>
          <w:r>
            <w:instrText xml:space="preserve"> PAGEREF _Toc694 \h </w:instrText>
          </w:r>
          <w:r>
            <w:fldChar w:fldCharType="separate"/>
          </w:r>
          <w:r>
            <w:t>20</w:t>
          </w:r>
          <w:r>
            <w:fldChar w:fldCharType="end"/>
          </w:r>
          <w:r>
            <w:rPr>
              <w:rFonts w:hint="default" w:ascii="Times New Roman" w:hAnsi="Times New Roman" w:eastAsia="楷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黑体" w:cs="Times New Roman"/>
            </w:rPr>
          </w:pPr>
          <w:r>
            <w:rPr>
              <w:rFonts w:hint="default" w:ascii="Times New Roman" w:hAnsi="Times New Roman" w:eastAsia="黑体" w:cs="Times New Roman"/>
              <w:color w:val="auto"/>
              <w:szCs w:val="32"/>
            </w:rPr>
            <w:fldChar w:fldCharType="begin"/>
          </w:r>
          <w:r>
            <w:rPr>
              <w:rFonts w:hint="default" w:ascii="Times New Roman" w:hAnsi="Times New Roman" w:eastAsia="黑体" w:cs="Times New Roman"/>
              <w:szCs w:val="32"/>
            </w:rPr>
            <w:instrText xml:space="preserve"> HYPERLINK \l _Toc19223 </w:instrText>
          </w:r>
          <w:r>
            <w:rPr>
              <w:rFonts w:hint="default" w:ascii="Times New Roman" w:hAnsi="Times New Roman" w:eastAsia="黑体" w:cs="Times New Roman"/>
              <w:szCs w:val="32"/>
            </w:rPr>
            <w:fldChar w:fldCharType="separate"/>
          </w:r>
          <w:r>
            <w:rPr>
              <w:rFonts w:hint="default" w:ascii="Times New Roman" w:hAnsi="Times New Roman" w:eastAsia="黑体" w:cs="Times New Roman"/>
              <w:bCs w:val="0"/>
              <w:kern w:val="44"/>
              <w:szCs w:val="32"/>
              <w:lang w:val="en-US" w:eastAsia="zh-CN"/>
            </w:rPr>
            <w:t>七、 保障措施</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_Toc19223 \h </w:instrText>
          </w:r>
          <w:r>
            <w:rPr>
              <w:rFonts w:hint="default" w:ascii="Times New Roman" w:hAnsi="Times New Roman" w:eastAsia="黑体" w:cs="Times New Roman"/>
            </w:rPr>
            <w:fldChar w:fldCharType="separate"/>
          </w:r>
          <w:r>
            <w:rPr>
              <w:rFonts w:hint="default" w:ascii="Times New Roman" w:hAnsi="Times New Roman" w:eastAsia="黑体" w:cs="Times New Roman"/>
            </w:rPr>
            <w:t>20</w:t>
          </w:r>
          <w:r>
            <w:rPr>
              <w:rFonts w:hint="default" w:ascii="Times New Roman" w:hAnsi="Times New Roman" w:eastAsia="黑体" w:cs="Times New Roman"/>
            </w:rPr>
            <w:fldChar w:fldCharType="end"/>
          </w:r>
          <w:r>
            <w:rPr>
              <w:rFonts w:hint="default" w:ascii="Times New Roman" w:hAnsi="Times New Roman" w:eastAsia="黑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_Toc5843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（一） 组织领导</w:t>
          </w:r>
          <w:r>
            <w:tab/>
          </w:r>
          <w:r>
            <w:fldChar w:fldCharType="begin"/>
          </w:r>
          <w:r>
            <w:instrText xml:space="preserve"> PAGEREF _Toc5843 \h </w:instrText>
          </w:r>
          <w:r>
            <w:fldChar w:fldCharType="separate"/>
          </w:r>
          <w:r>
            <w:t>20</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_Toc25653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（二） 项目管理</w:t>
          </w:r>
          <w:r>
            <w:tab/>
          </w:r>
          <w:r>
            <w:fldChar w:fldCharType="begin"/>
          </w:r>
          <w:r>
            <w:instrText xml:space="preserve"> PAGEREF _Toc25653 \h </w:instrText>
          </w:r>
          <w:r>
            <w:fldChar w:fldCharType="separate"/>
          </w:r>
          <w:r>
            <w:t>21</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_Toc19646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（三） 风险防控</w:t>
          </w:r>
          <w:r>
            <w:tab/>
          </w:r>
          <w:r>
            <w:fldChar w:fldCharType="begin"/>
          </w:r>
          <w:r>
            <w:instrText xml:space="preserve"> PAGEREF _Toc19646 \h </w:instrText>
          </w:r>
          <w:r>
            <w:fldChar w:fldCharType="separate"/>
          </w:r>
          <w:r>
            <w:t>22</w:t>
          </w:r>
          <w:r>
            <w:fldChar w:fldCharType="end"/>
          </w:r>
          <w:r>
            <w:rPr>
              <w:rFonts w:hint="default" w:ascii="Times New Roman" w:hAnsi="Times New Roman" w:eastAsia="楷体" w:cs="Times New Roman"/>
              <w:color w:val="auto"/>
              <w:szCs w:val="3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_Toc14790 </w:instrText>
          </w:r>
          <w:r>
            <w:rPr>
              <w:rFonts w:hint="default" w:ascii="Times New Roman" w:hAnsi="Times New Roman" w:eastAsia="楷体" w:cs="Times New Roman"/>
              <w:szCs w:val="32"/>
            </w:rPr>
            <w:fldChar w:fldCharType="separate"/>
          </w:r>
          <w:r>
            <w:rPr>
              <w:rFonts w:hint="eastAsia" w:ascii="Times New Roman" w:hAnsi="Times New Roman" w:eastAsia="楷体" w:cs="Times New Roman"/>
              <w:bCs/>
              <w:lang w:val="en-US" w:eastAsia="zh-CN"/>
            </w:rPr>
            <w:t>（四） 信息公开</w:t>
          </w:r>
          <w:r>
            <w:tab/>
          </w:r>
          <w:r>
            <w:fldChar w:fldCharType="begin"/>
          </w:r>
          <w:r>
            <w:instrText xml:space="preserve"> PAGEREF _Toc14790 \h </w:instrText>
          </w:r>
          <w:r>
            <w:fldChar w:fldCharType="separate"/>
          </w:r>
          <w:r>
            <w:t>23</w:t>
          </w:r>
          <w:r>
            <w:fldChar w:fldCharType="end"/>
          </w:r>
          <w:r>
            <w:rPr>
              <w:rFonts w:hint="default" w:ascii="Times New Roman" w:hAnsi="Times New Roman" w:eastAsia="楷体" w:cs="Times New Roman"/>
              <w:color w:val="auto"/>
              <w:szCs w:val="3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left="640" w:leftChars="200" w:firstLine="0" w:firstLineChars="0"/>
            <w:textAlignment w:val="auto"/>
          </w:pPr>
          <w:r>
            <w:rPr>
              <w:rFonts w:hint="default" w:ascii="Times New Roman" w:hAnsi="Times New Roman" w:eastAsia="楷体" w:cs="Times New Roman"/>
              <w:color w:val="auto"/>
              <w:szCs w:val="32"/>
            </w:rPr>
            <w:fldChar w:fldCharType="begin"/>
          </w:r>
          <w:r>
            <w:rPr>
              <w:rFonts w:hint="default" w:ascii="Times New Roman" w:hAnsi="Times New Roman" w:eastAsia="楷体" w:cs="Times New Roman"/>
              <w:szCs w:val="32"/>
            </w:rPr>
            <w:instrText xml:space="preserve"> HYPERLINK \l _Toc29872 </w:instrText>
          </w:r>
          <w:r>
            <w:rPr>
              <w:rFonts w:hint="default" w:ascii="Times New Roman" w:hAnsi="Times New Roman" w:eastAsia="楷体" w:cs="Times New Roman"/>
              <w:szCs w:val="32"/>
            </w:rPr>
            <w:fldChar w:fldCharType="separate"/>
          </w:r>
          <w:r>
            <w:rPr>
              <w:rFonts w:hint="eastAsia" w:ascii="Times New Roman" w:hAnsi="Times New Roman" w:cs="Times New Roman"/>
              <w:bCs w:val="0"/>
              <w:kern w:val="44"/>
              <w:szCs w:val="32"/>
              <w:lang w:val="en-US" w:eastAsia="zh-CN"/>
            </w:rPr>
            <w:t>附：县级人民政府批复同意的现代农业产业园中央财政奖补资金使用管理办法</w:t>
          </w:r>
          <w:r>
            <w:tab/>
          </w:r>
          <w:r>
            <w:fldChar w:fldCharType="begin"/>
          </w:r>
          <w:r>
            <w:instrText xml:space="preserve"> PAGEREF _Toc29872 \h </w:instrText>
          </w:r>
          <w:r>
            <w:fldChar w:fldCharType="separate"/>
          </w:r>
          <w:r>
            <w:t>24</w:t>
          </w:r>
          <w:r>
            <w:fldChar w:fldCharType="end"/>
          </w:r>
          <w:r>
            <w:rPr>
              <w:rFonts w:hint="default" w:ascii="Times New Roman" w:hAnsi="Times New Roman" w:eastAsia="楷体" w:cs="Times New Roman"/>
              <w:color w:val="auto"/>
              <w:szCs w:val="32"/>
            </w:rPr>
            <w:fldChar w:fldCharType="end"/>
          </w:r>
        </w:p>
        <w:p>
          <w:pPr>
            <w:pStyle w:val="16"/>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eastAsia"/>
              <w:color w:val="auto"/>
            </w:rPr>
            <w:sectPr>
              <w:footerReference r:id="rId5"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eastAsia="楷体" w:cs="Times New Roman"/>
              <w:color w:val="auto"/>
              <w:szCs w:val="32"/>
            </w:rPr>
            <w:fldChar w:fldCharType="end"/>
          </w:r>
        </w:p>
      </w:sdtContent>
    </w:sdt>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为加快培育德惠肉鸡生态圈与产业链，实现肉鸡集聚化发展，推动现代农业产业园高效优质发展，推动德惠经济结构调整和产业转型升级，</w:t>
      </w:r>
      <w:r>
        <w:rPr>
          <w:rFonts w:hint="eastAsia" w:ascii="仿宋" w:hAnsi="仿宋" w:cs="仿宋"/>
          <w:color w:val="auto"/>
          <w:sz w:val="32"/>
          <w:szCs w:val="32"/>
          <w:lang w:val="en-US" w:eastAsia="zh-CN"/>
        </w:rPr>
        <w:t>切实使用国家现代农业产业园奖励资金，推动德惠市肉鸡产业园高质量发展，</w:t>
      </w:r>
      <w:r>
        <w:rPr>
          <w:rFonts w:hint="eastAsia" w:ascii="仿宋" w:hAnsi="仿宋" w:eastAsia="仿宋" w:cs="仿宋"/>
          <w:color w:val="auto"/>
          <w:sz w:val="32"/>
          <w:szCs w:val="32"/>
        </w:rPr>
        <w:t>根据</w:t>
      </w:r>
      <w:r>
        <w:rPr>
          <w:rFonts w:hint="eastAsia" w:ascii="仿宋" w:hAnsi="仿宋" w:cs="仿宋"/>
          <w:color w:val="auto"/>
          <w:kern w:val="0"/>
          <w:sz w:val="32"/>
          <w:szCs w:val="32"/>
          <w:lang w:val="en-US" w:eastAsia="zh-CN"/>
        </w:rPr>
        <w:t>农业农村部 财政部办公厅</w:t>
      </w:r>
      <w:r>
        <w:rPr>
          <w:rFonts w:hint="eastAsia" w:ascii="仿宋" w:hAnsi="仿宋" w:eastAsia="仿宋" w:cs="仿宋"/>
          <w:color w:val="auto"/>
          <w:kern w:val="0"/>
          <w:sz w:val="32"/>
          <w:szCs w:val="32"/>
        </w:rPr>
        <w:t>《</w:t>
      </w:r>
      <w:r>
        <w:rPr>
          <w:rFonts w:hint="eastAsia" w:ascii="仿宋" w:hAnsi="仿宋" w:cs="仿宋"/>
          <w:color w:val="auto"/>
          <w:kern w:val="0"/>
          <w:sz w:val="32"/>
          <w:szCs w:val="32"/>
          <w:lang w:val="en-US" w:eastAsia="zh-CN"/>
        </w:rPr>
        <w:t>关于做</w:t>
      </w:r>
      <w:r>
        <w:rPr>
          <w:rFonts w:hint="default" w:ascii="Times New Roman" w:hAnsi="Times New Roman" w:cs="Times New Roman"/>
          <w:color w:val="auto"/>
          <w:kern w:val="0"/>
          <w:sz w:val="32"/>
          <w:szCs w:val="32"/>
          <w:lang w:val="en-US" w:eastAsia="zh-CN"/>
        </w:rPr>
        <w:t>好2024年农业产业融合发展项目申报工作的通知</w:t>
      </w:r>
      <w:r>
        <w:rPr>
          <w:rFonts w:hint="default" w:ascii="Times New Roman" w:hAnsi="Times New Roman" w:eastAsia="仿宋" w:cs="Times New Roman"/>
          <w:color w:val="auto"/>
          <w:kern w:val="0"/>
          <w:sz w:val="32"/>
          <w:szCs w:val="32"/>
        </w:rPr>
        <w:t>》（吉</w:t>
      </w:r>
      <w:r>
        <w:rPr>
          <w:rFonts w:hint="default" w:ascii="Times New Roman" w:hAnsi="Times New Roman" w:cs="Times New Roman"/>
          <w:color w:val="auto"/>
          <w:kern w:val="0"/>
          <w:sz w:val="32"/>
          <w:szCs w:val="32"/>
          <w:lang w:val="en-US" w:eastAsia="zh-CN"/>
        </w:rPr>
        <w:t>办计财</w:t>
      </w:r>
      <w:r>
        <w:rPr>
          <w:rFonts w:hint="default" w:ascii="Times New Roman" w:hAnsi="Times New Roman" w:eastAsia="仿宋_GB2312" w:cs="Times New Roman"/>
          <w:i w:val="0"/>
          <w:iCs w:val="0"/>
          <w:caps w:val="0"/>
          <w:color w:val="auto"/>
          <w:spacing w:val="0"/>
          <w:sz w:val="31"/>
          <w:szCs w:val="31"/>
          <w:shd w:val="clear" w:fill="FFFFFF"/>
        </w:rPr>
        <w:t>〔</w:t>
      </w:r>
      <w:r>
        <w:rPr>
          <w:rFonts w:hint="default" w:ascii="Times New Roman" w:hAnsi="Times New Roman" w:eastAsia="仿宋_GB2312" w:cs="Times New Roman"/>
          <w:i w:val="0"/>
          <w:iCs w:val="0"/>
          <w:caps w:val="0"/>
          <w:color w:val="auto"/>
          <w:spacing w:val="0"/>
          <w:sz w:val="31"/>
          <w:szCs w:val="31"/>
          <w:shd w:val="clear" w:fill="FFFFFF"/>
          <w:lang w:val="en-US" w:eastAsia="zh-CN"/>
        </w:rPr>
        <w:t>2024</w:t>
      </w:r>
      <w:r>
        <w:rPr>
          <w:rFonts w:hint="default" w:ascii="Times New Roman" w:hAnsi="Times New Roman" w:eastAsia="仿宋_GB2312" w:cs="Times New Roman"/>
          <w:i w:val="0"/>
          <w:iCs w:val="0"/>
          <w:caps w:val="0"/>
          <w:color w:val="auto"/>
          <w:spacing w:val="0"/>
          <w:sz w:val="31"/>
          <w:szCs w:val="31"/>
          <w:shd w:val="clear" w:fill="FFFFFF"/>
        </w:rPr>
        <w:t>〕</w:t>
      </w:r>
      <w:r>
        <w:rPr>
          <w:rFonts w:hint="default" w:ascii="Times New Roman" w:hAnsi="Times New Roman" w:cs="Times New Roman"/>
          <w:color w:val="auto"/>
          <w:kern w:val="0"/>
          <w:sz w:val="32"/>
          <w:szCs w:val="32"/>
          <w:lang w:val="en-US" w:eastAsia="zh-CN"/>
        </w:rPr>
        <w:t>3</w:t>
      </w:r>
      <w:r>
        <w:rPr>
          <w:rFonts w:hint="default" w:ascii="Times New Roman" w:hAnsi="Times New Roman" w:eastAsia="仿宋" w:cs="Times New Roman"/>
          <w:color w:val="auto"/>
          <w:kern w:val="0"/>
          <w:sz w:val="32"/>
          <w:szCs w:val="32"/>
        </w:rPr>
        <w:t>号）</w:t>
      </w:r>
      <w:r>
        <w:rPr>
          <w:rFonts w:hint="eastAsia" w:ascii="仿宋" w:hAnsi="仿宋" w:eastAsia="仿宋" w:cs="仿宋"/>
          <w:color w:val="auto"/>
          <w:sz w:val="32"/>
          <w:szCs w:val="32"/>
        </w:rPr>
        <w:t>要求，特制定本方案。</w:t>
      </w:r>
    </w:p>
    <w:p>
      <w:pPr>
        <w:pStyle w:val="4"/>
        <w:pageBreakBefore w:val="0"/>
        <w:widowControl w:val="0"/>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default" w:ascii="Times New Roman" w:hAnsi="Times New Roman" w:cs="Times New Roman"/>
          <w:b w:val="0"/>
          <w:bCs w:val="0"/>
          <w:color w:val="auto"/>
          <w:kern w:val="44"/>
          <w:sz w:val="32"/>
          <w:szCs w:val="32"/>
          <w:lang w:val="en-US" w:eastAsia="zh-CN"/>
        </w:rPr>
      </w:pPr>
      <w:bookmarkStart w:id="11" w:name="_Toc6348"/>
      <w:r>
        <w:rPr>
          <w:rFonts w:hint="eastAsia" w:cs="Times New Roman"/>
          <w:b w:val="0"/>
          <w:bCs w:val="0"/>
          <w:color w:val="auto"/>
          <w:kern w:val="44"/>
          <w:sz w:val="32"/>
          <w:szCs w:val="32"/>
          <w:lang w:val="en-US" w:eastAsia="zh-CN"/>
        </w:rPr>
        <w:t>一、</w:t>
      </w:r>
      <w:r>
        <w:rPr>
          <w:rFonts w:hint="eastAsia" w:ascii="Times New Roman" w:hAnsi="Times New Roman" w:cs="Times New Roman"/>
          <w:b w:val="0"/>
          <w:bCs w:val="0"/>
          <w:color w:val="auto"/>
          <w:kern w:val="44"/>
          <w:sz w:val="32"/>
          <w:szCs w:val="32"/>
          <w:lang w:val="en-US" w:eastAsia="zh-CN"/>
        </w:rPr>
        <w:t>产业园</w:t>
      </w:r>
      <w:bookmarkEnd w:id="9"/>
      <w:bookmarkEnd w:id="10"/>
      <w:r>
        <w:rPr>
          <w:rFonts w:hint="eastAsia" w:cs="Times New Roman"/>
          <w:b w:val="0"/>
          <w:bCs w:val="0"/>
          <w:color w:val="auto"/>
          <w:kern w:val="44"/>
          <w:sz w:val="32"/>
          <w:szCs w:val="32"/>
          <w:lang w:val="en-US" w:eastAsia="zh-CN"/>
        </w:rPr>
        <w:t>基本情况</w:t>
      </w:r>
      <w:bookmarkEnd w:id="11"/>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eastAsia" w:eastAsia="楷体" w:cs="Times New Roman"/>
          <w:bCs/>
          <w:color w:val="auto"/>
          <w:lang w:val="en-US" w:eastAsia="zh-CN"/>
        </w:rPr>
      </w:pPr>
      <w:bookmarkStart w:id="12" w:name="_Toc19599"/>
      <w:bookmarkStart w:id="13" w:name="_Toc1144750085"/>
      <w:r>
        <w:rPr>
          <w:rFonts w:hint="eastAsia" w:eastAsia="楷体" w:cs="Times New Roman"/>
          <w:bCs/>
          <w:color w:val="auto"/>
          <w:lang w:val="en-US" w:eastAsia="zh-CN"/>
        </w:rPr>
        <w:t>（一）产业园名称</w:t>
      </w:r>
      <w:bookmarkEnd w:id="12"/>
    </w:p>
    <w:p>
      <w:pPr>
        <w:pageBreakBefore w:val="0"/>
        <w:kinsoku/>
        <w:wordWrap/>
        <w:overflowPunct/>
        <w:topLinePunct w:val="0"/>
        <w:bidi w:val="0"/>
        <w:snapToGrid w:val="0"/>
        <w:spacing w:line="360" w:lineRule="auto"/>
        <w:ind w:firstLine="640"/>
        <w:rPr>
          <w:rFonts w:hint="eastAsia" w:ascii="仿宋" w:hAnsi="仿宋"/>
          <w:color w:val="auto"/>
          <w:lang w:val="en-US" w:eastAsia="zh-CN"/>
        </w:rPr>
      </w:pPr>
      <w:r>
        <w:rPr>
          <w:rFonts w:hint="eastAsia" w:ascii="仿宋" w:hAnsi="仿宋"/>
          <w:color w:val="auto"/>
          <w:lang w:val="en-US" w:eastAsia="zh-CN"/>
        </w:rPr>
        <w:t>吉林省德惠市国家现代农业产业园。</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14" w:name="_Toc14752"/>
      <w:r>
        <w:rPr>
          <w:rFonts w:hint="eastAsia" w:eastAsia="楷体" w:cs="Times New Roman"/>
          <w:bCs/>
          <w:color w:val="auto"/>
          <w:lang w:val="en-US" w:eastAsia="zh-CN"/>
        </w:rPr>
        <w:t>（二）</w:t>
      </w:r>
      <w:r>
        <w:rPr>
          <w:rFonts w:hint="eastAsia" w:ascii="Times New Roman" w:hAnsi="Times New Roman" w:eastAsia="楷体" w:cs="Times New Roman"/>
          <w:bCs/>
          <w:color w:val="auto"/>
          <w:lang w:val="en-US" w:eastAsia="zh-CN"/>
        </w:rPr>
        <w:t>产业园建设范围</w:t>
      </w:r>
      <w:bookmarkEnd w:id="13"/>
      <w:bookmarkEnd w:id="14"/>
    </w:p>
    <w:p>
      <w:pPr>
        <w:pageBreakBefore w:val="0"/>
        <w:kinsoku/>
        <w:wordWrap/>
        <w:overflowPunct/>
        <w:topLinePunct w:val="0"/>
        <w:bidi w:val="0"/>
        <w:snapToGrid w:val="0"/>
        <w:spacing w:line="360" w:lineRule="auto"/>
        <w:ind w:firstLine="640"/>
        <w:rPr>
          <w:rFonts w:hint="eastAsia" w:ascii="仿宋" w:hAnsi="仿宋"/>
          <w:color w:val="auto"/>
        </w:rPr>
      </w:pPr>
      <w:r>
        <w:rPr>
          <w:rFonts w:hint="eastAsia" w:ascii="仿宋" w:hAnsi="仿宋"/>
          <w:color w:val="auto"/>
        </w:rPr>
        <w:t>吉林省德惠市现代农业产业园建设范围包括边岗乡、夏家店</w:t>
      </w:r>
      <w:r>
        <w:rPr>
          <w:rFonts w:hint="default" w:ascii="Times New Roman" w:hAnsi="Times New Roman" w:cs="Times New Roman"/>
          <w:color w:val="auto"/>
        </w:rPr>
        <w:t>街道、布海镇、惠发街道、郭家镇、同太乡、大青咀镇、天台镇</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朱城子镇、米沙子镇10</w:t>
      </w:r>
      <w:r>
        <w:rPr>
          <w:rFonts w:hint="default" w:ascii="Times New Roman" w:hAnsi="Times New Roman" w:cs="Times New Roman"/>
          <w:color w:val="auto"/>
        </w:rPr>
        <w:t>个乡（镇、街道）</w:t>
      </w:r>
      <w:r>
        <w:rPr>
          <w:rFonts w:hint="default" w:ascii="Times New Roman" w:hAnsi="Times New Roman" w:cs="Times New Roman"/>
          <w:color w:val="auto"/>
          <w:lang w:val="en-US" w:eastAsia="zh-CN"/>
        </w:rPr>
        <w:t>166个行政村</w:t>
      </w:r>
      <w:r>
        <w:rPr>
          <w:rFonts w:hint="default" w:ascii="Times New Roman" w:hAnsi="Times New Roman" w:cs="Times New Roman"/>
          <w:color w:val="auto"/>
        </w:rPr>
        <w:t>，总规划面积</w:t>
      </w:r>
      <w:r>
        <w:rPr>
          <w:rFonts w:hint="default" w:ascii="Times New Roman" w:hAnsi="Times New Roman" w:cs="Times New Roman"/>
          <w:color w:val="auto"/>
          <w:lang w:val="en-US" w:eastAsia="zh-CN"/>
        </w:rPr>
        <w:t>1773.04</w:t>
      </w:r>
      <w:r>
        <w:rPr>
          <w:rFonts w:hint="default" w:ascii="Times New Roman" w:hAnsi="Times New Roman" w:cs="Times New Roman"/>
          <w:color w:val="auto"/>
        </w:rPr>
        <w:t>平方公里，</w:t>
      </w:r>
      <w:r>
        <w:rPr>
          <w:rFonts w:hint="default" w:ascii="Times New Roman" w:hAnsi="Times New Roman" w:cs="Times New Roman"/>
          <w:color w:val="auto"/>
          <w:lang w:val="en-US" w:eastAsia="zh-CN"/>
        </w:rPr>
        <w:t>占德惠市总面积的53.37%。</w:t>
      </w:r>
      <w:r>
        <w:rPr>
          <w:rFonts w:hint="default" w:ascii="Times New Roman" w:hAnsi="Times New Roman" w:cs="Times New Roman"/>
          <w:color w:val="auto"/>
        </w:rPr>
        <w:t>总</w:t>
      </w:r>
      <w:r>
        <w:rPr>
          <w:rFonts w:hint="eastAsia" w:ascii="仿宋" w:hAnsi="仿宋"/>
          <w:color w:val="auto"/>
        </w:rPr>
        <w:t>体遵循“一</w:t>
      </w:r>
      <w:r>
        <w:rPr>
          <w:rFonts w:hint="eastAsia" w:ascii="仿宋" w:hAnsi="仿宋"/>
          <w:color w:val="auto"/>
          <w:lang w:val="en-US" w:eastAsia="zh-CN"/>
        </w:rPr>
        <w:t>带</w:t>
      </w:r>
      <w:r>
        <w:rPr>
          <w:rFonts w:hint="eastAsia" w:ascii="仿宋" w:hAnsi="仿宋"/>
          <w:color w:val="auto"/>
        </w:rPr>
        <w:t>、一区、多基地”的空间发展格局，涵盖了生产、加工、物流、研发、示范、服务等功能板块。</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15" w:name="_Toc12049"/>
      <w:bookmarkStart w:id="16" w:name="_Toc508685122"/>
      <w:r>
        <w:rPr>
          <w:rFonts w:hint="eastAsia" w:eastAsia="楷体" w:cs="Times New Roman"/>
          <w:bCs/>
          <w:color w:val="auto"/>
          <w:lang w:val="en-US" w:eastAsia="zh-CN"/>
        </w:rPr>
        <w:t>（三）</w:t>
      </w:r>
      <w:r>
        <w:rPr>
          <w:rFonts w:hint="eastAsia" w:ascii="Times New Roman" w:hAnsi="Times New Roman" w:eastAsia="楷体" w:cs="Times New Roman"/>
          <w:bCs/>
          <w:color w:val="auto"/>
          <w:lang w:val="en-US" w:eastAsia="zh-CN"/>
        </w:rPr>
        <w:t>产业园基本情况</w:t>
      </w:r>
      <w:bookmarkEnd w:id="15"/>
      <w:bookmarkEnd w:id="16"/>
    </w:p>
    <w:p>
      <w:pPr>
        <w:pageBreakBefore w:val="0"/>
        <w:widowControl w:val="0"/>
        <w:kinsoku/>
        <w:wordWrap/>
        <w:overflowPunct/>
        <w:topLinePunct w:val="0"/>
        <w:autoSpaceDE/>
        <w:autoSpaceDN/>
        <w:bidi w:val="0"/>
        <w:adjustRightInd w:val="0"/>
        <w:snapToGrid w:val="0"/>
        <w:ind w:firstLine="640"/>
        <w:textAlignment w:val="auto"/>
        <w:rPr>
          <w:rFonts w:hint="default" w:ascii="Times New Roman" w:hAnsi="Times New Roman" w:cs="Times New Roman"/>
          <w:color w:val="auto"/>
          <w:szCs w:val="32"/>
        </w:rPr>
      </w:pPr>
      <w:r>
        <w:rPr>
          <w:rFonts w:hint="eastAsia"/>
          <w:b/>
          <w:bCs/>
          <w:color w:val="auto"/>
          <w:lang w:val="en-US" w:eastAsia="zh-CN"/>
        </w:rPr>
        <w:t>土地资源高效利用。</w:t>
      </w:r>
      <w:r>
        <w:rPr>
          <w:rFonts w:hint="default" w:ascii="Times New Roman" w:hAnsi="Times New Roman" w:cs="Times New Roman"/>
          <w:color w:val="auto"/>
          <w:szCs w:val="32"/>
        </w:rPr>
        <w:t>产业园土地总面积</w:t>
      </w:r>
      <w:r>
        <w:rPr>
          <w:rFonts w:hint="eastAsia" w:cs="Times New Roman"/>
          <w:color w:val="auto"/>
          <w:szCs w:val="32"/>
          <w:lang w:val="en-US" w:eastAsia="zh-CN"/>
        </w:rPr>
        <w:t>2659560</w:t>
      </w:r>
      <w:r>
        <w:rPr>
          <w:rFonts w:hint="default" w:ascii="Times New Roman" w:hAnsi="Times New Roman" w:cs="Times New Roman"/>
          <w:color w:val="auto"/>
          <w:szCs w:val="32"/>
        </w:rPr>
        <w:t>亩。其中，耕地面积</w:t>
      </w:r>
      <w:r>
        <w:rPr>
          <w:rFonts w:hint="eastAsia" w:cs="Times New Roman"/>
          <w:color w:val="auto"/>
          <w:szCs w:val="32"/>
          <w:lang w:val="en-US" w:eastAsia="zh-CN"/>
        </w:rPr>
        <w:t>2194024.46</w:t>
      </w:r>
      <w:r>
        <w:rPr>
          <w:rFonts w:hint="default" w:ascii="Times New Roman" w:hAnsi="Times New Roman" w:cs="Times New Roman"/>
          <w:color w:val="auto"/>
          <w:szCs w:val="32"/>
        </w:rPr>
        <w:t>亩，占产业园总面积</w:t>
      </w:r>
      <w:r>
        <w:rPr>
          <w:rFonts w:hint="eastAsia" w:cs="Times New Roman"/>
          <w:color w:val="auto"/>
          <w:szCs w:val="32"/>
          <w:lang w:val="en-US" w:eastAsia="zh-CN"/>
        </w:rPr>
        <w:t>82.50</w:t>
      </w:r>
      <w:r>
        <w:rPr>
          <w:rFonts w:hint="default" w:ascii="Times New Roman" w:hAnsi="Times New Roman" w:cs="Times New Roman"/>
          <w:color w:val="auto"/>
          <w:szCs w:val="32"/>
        </w:rPr>
        <w:t>%；林地</w:t>
      </w:r>
      <w:r>
        <w:rPr>
          <w:rFonts w:hint="eastAsia" w:cs="Times New Roman"/>
          <w:color w:val="auto"/>
          <w:szCs w:val="32"/>
          <w:lang w:val="en-US" w:eastAsia="zh-CN"/>
        </w:rPr>
        <w:t>86625.5</w:t>
      </w:r>
      <w:r>
        <w:rPr>
          <w:rFonts w:hint="default" w:ascii="Times New Roman" w:hAnsi="Times New Roman" w:cs="Times New Roman"/>
          <w:color w:val="auto"/>
          <w:szCs w:val="32"/>
        </w:rPr>
        <w:t>亩，占产业园总面积</w:t>
      </w:r>
      <w:r>
        <w:rPr>
          <w:rFonts w:hint="eastAsia" w:cs="Times New Roman"/>
          <w:color w:val="auto"/>
          <w:szCs w:val="32"/>
          <w:lang w:val="en-US" w:eastAsia="zh-CN"/>
        </w:rPr>
        <w:t>3.26</w:t>
      </w:r>
      <w:r>
        <w:rPr>
          <w:rFonts w:hint="default" w:ascii="Times New Roman" w:hAnsi="Times New Roman" w:cs="Times New Roman"/>
          <w:color w:val="auto"/>
          <w:szCs w:val="32"/>
        </w:rPr>
        <w:t>%；</w:t>
      </w:r>
      <w:r>
        <w:rPr>
          <w:rFonts w:hint="eastAsia" w:cs="Times New Roman"/>
          <w:color w:val="auto"/>
          <w:szCs w:val="32"/>
          <w:lang w:val="en-US" w:eastAsia="zh-CN"/>
        </w:rPr>
        <w:t>湿地982.15亩，占产业园总面积0.04%；</w:t>
      </w:r>
      <w:r>
        <w:rPr>
          <w:rFonts w:hint="default" w:ascii="Times New Roman" w:hAnsi="Times New Roman" w:cs="Times New Roman"/>
          <w:color w:val="auto"/>
          <w:szCs w:val="32"/>
        </w:rPr>
        <w:t>草地</w:t>
      </w:r>
      <w:r>
        <w:rPr>
          <w:rFonts w:hint="eastAsia" w:cs="Times New Roman"/>
          <w:color w:val="auto"/>
          <w:szCs w:val="32"/>
          <w:lang w:val="en-US" w:eastAsia="zh-CN"/>
        </w:rPr>
        <w:t>5530.20</w:t>
      </w:r>
      <w:r>
        <w:rPr>
          <w:rFonts w:hint="default" w:ascii="Times New Roman" w:hAnsi="Times New Roman" w:cs="Times New Roman"/>
          <w:color w:val="auto"/>
          <w:szCs w:val="32"/>
        </w:rPr>
        <w:t>亩，占产业园总面积0.</w:t>
      </w:r>
      <w:r>
        <w:rPr>
          <w:rFonts w:hint="eastAsia" w:cs="Times New Roman"/>
          <w:color w:val="auto"/>
          <w:szCs w:val="32"/>
          <w:lang w:val="en-US" w:eastAsia="zh-CN"/>
        </w:rPr>
        <w:t>21</w:t>
      </w:r>
      <w:r>
        <w:rPr>
          <w:rFonts w:hint="default" w:ascii="Times New Roman" w:hAnsi="Times New Roman" w:cs="Times New Roman"/>
          <w:color w:val="auto"/>
          <w:szCs w:val="32"/>
        </w:rPr>
        <w:t>%；园地</w:t>
      </w:r>
      <w:r>
        <w:rPr>
          <w:rFonts w:hint="eastAsia" w:cs="Times New Roman"/>
          <w:color w:val="auto"/>
          <w:szCs w:val="32"/>
          <w:lang w:val="en-US" w:eastAsia="zh-CN"/>
        </w:rPr>
        <w:t>915.21</w:t>
      </w:r>
      <w:r>
        <w:rPr>
          <w:rFonts w:hint="default" w:ascii="Times New Roman" w:hAnsi="Times New Roman" w:cs="Times New Roman"/>
          <w:color w:val="auto"/>
          <w:szCs w:val="32"/>
        </w:rPr>
        <w:t>亩，占产业园总面积0.</w:t>
      </w:r>
      <w:r>
        <w:rPr>
          <w:rFonts w:hint="eastAsia" w:cs="Times New Roman"/>
          <w:color w:val="auto"/>
          <w:szCs w:val="32"/>
          <w:lang w:val="en-US" w:eastAsia="zh-CN"/>
        </w:rPr>
        <w:t>03</w:t>
      </w:r>
      <w:r>
        <w:rPr>
          <w:rFonts w:hint="default" w:ascii="Times New Roman" w:hAnsi="Times New Roman" w:cs="Times New Roman"/>
          <w:color w:val="auto"/>
          <w:szCs w:val="32"/>
        </w:rPr>
        <w:t>%；</w:t>
      </w:r>
      <w:r>
        <w:rPr>
          <w:rFonts w:hint="eastAsia" w:cs="Times New Roman"/>
          <w:color w:val="auto"/>
          <w:szCs w:val="32"/>
          <w:lang w:val="en-US" w:eastAsia="zh-CN"/>
        </w:rPr>
        <w:t>水域及水利设施用地57843.21</w:t>
      </w:r>
      <w:r>
        <w:rPr>
          <w:rFonts w:hint="default" w:ascii="Times New Roman" w:hAnsi="Times New Roman" w:cs="Times New Roman"/>
          <w:color w:val="auto"/>
          <w:szCs w:val="32"/>
        </w:rPr>
        <w:t>亩，占产业园总面积2.</w:t>
      </w:r>
      <w:r>
        <w:rPr>
          <w:rFonts w:hint="eastAsia" w:cs="Times New Roman"/>
          <w:color w:val="auto"/>
          <w:szCs w:val="32"/>
          <w:lang w:val="en-US" w:eastAsia="zh-CN"/>
        </w:rPr>
        <w:t>17</w:t>
      </w:r>
      <w:r>
        <w:rPr>
          <w:rFonts w:hint="default" w:ascii="Times New Roman" w:hAnsi="Times New Roman" w:cs="Times New Roman"/>
          <w:color w:val="auto"/>
          <w:szCs w:val="32"/>
        </w:rPr>
        <w:t>%，建设用地</w:t>
      </w:r>
      <w:r>
        <w:rPr>
          <w:rFonts w:hint="eastAsia" w:cs="Times New Roman"/>
          <w:color w:val="auto"/>
          <w:szCs w:val="32"/>
          <w:lang w:val="en-US" w:eastAsia="zh-CN"/>
        </w:rPr>
        <w:t>244592.04</w:t>
      </w:r>
      <w:r>
        <w:rPr>
          <w:rFonts w:hint="default" w:ascii="Times New Roman" w:hAnsi="Times New Roman" w:cs="Times New Roman"/>
          <w:color w:val="auto"/>
          <w:szCs w:val="32"/>
        </w:rPr>
        <w:t>亩，占产业园总面积9.</w:t>
      </w:r>
      <w:r>
        <w:rPr>
          <w:rFonts w:hint="eastAsia" w:cs="Times New Roman"/>
          <w:color w:val="auto"/>
          <w:szCs w:val="32"/>
          <w:lang w:val="en-US" w:eastAsia="zh-CN"/>
        </w:rPr>
        <w:t>20</w:t>
      </w:r>
      <w:r>
        <w:rPr>
          <w:rFonts w:hint="default" w:ascii="Times New Roman" w:hAnsi="Times New Roman" w:cs="Times New Roman"/>
          <w:color w:val="auto"/>
          <w:szCs w:val="32"/>
        </w:rPr>
        <w:t>%；交通运输用地</w:t>
      </w:r>
      <w:r>
        <w:rPr>
          <w:rFonts w:hint="eastAsia" w:cs="Times New Roman"/>
          <w:color w:val="auto"/>
          <w:szCs w:val="32"/>
          <w:lang w:val="en-US" w:eastAsia="zh-CN"/>
        </w:rPr>
        <w:t>59264.25</w:t>
      </w:r>
      <w:r>
        <w:rPr>
          <w:rFonts w:hint="default" w:ascii="Times New Roman" w:hAnsi="Times New Roman" w:cs="Times New Roman"/>
          <w:color w:val="auto"/>
          <w:szCs w:val="32"/>
        </w:rPr>
        <w:t>亩，占产业园总面积</w:t>
      </w:r>
      <w:r>
        <w:rPr>
          <w:rFonts w:hint="eastAsia" w:cs="Times New Roman"/>
          <w:color w:val="auto"/>
          <w:szCs w:val="32"/>
          <w:lang w:val="en-US" w:eastAsia="zh-CN"/>
        </w:rPr>
        <w:t>2.23</w:t>
      </w:r>
      <w:r>
        <w:rPr>
          <w:rFonts w:hint="default" w:ascii="Times New Roman" w:hAnsi="Times New Roman" w:cs="Times New Roman"/>
          <w:color w:val="auto"/>
          <w:szCs w:val="32"/>
        </w:rPr>
        <w:t>%。其他用地</w:t>
      </w:r>
      <w:r>
        <w:rPr>
          <w:rFonts w:hint="eastAsia" w:cs="Times New Roman"/>
          <w:color w:val="auto"/>
          <w:szCs w:val="32"/>
          <w:lang w:val="en-US" w:eastAsia="zh-CN"/>
        </w:rPr>
        <w:t>9783.52</w:t>
      </w:r>
      <w:r>
        <w:rPr>
          <w:rFonts w:hint="default" w:ascii="Times New Roman" w:hAnsi="Times New Roman" w:cs="Times New Roman"/>
          <w:color w:val="auto"/>
          <w:szCs w:val="32"/>
        </w:rPr>
        <w:t>亩，占产业园总面积0.</w:t>
      </w:r>
      <w:r>
        <w:rPr>
          <w:rFonts w:hint="eastAsia" w:cs="Times New Roman"/>
          <w:color w:val="auto"/>
          <w:szCs w:val="32"/>
          <w:lang w:val="en-US" w:eastAsia="zh-CN"/>
        </w:rPr>
        <w:t>37</w:t>
      </w:r>
      <w:r>
        <w:rPr>
          <w:rFonts w:hint="default" w:ascii="Times New Roman" w:hAnsi="Times New Roman" w:cs="Times New Roman"/>
          <w:color w:val="auto"/>
          <w:szCs w:val="32"/>
        </w:rPr>
        <w:t>%。</w:t>
      </w:r>
    </w:p>
    <w:p>
      <w:pPr>
        <w:pageBreakBefore w:val="0"/>
        <w:widowControl w:val="0"/>
        <w:kinsoku/>
        <w:wordWrap/>
        <w:overflowPunct/>
        <w:topLinePunct w:val="0"/>
        <w:autoSpaceDE/>
        <w:autoSpaceDN/>
        <w:bidi w:val="0"/>
        <w:adjustRightInd w:val="0"/>
        <w:snapToGrid w:val="0"/>
        <w:ind w:firstLine="640"/>
        <w:textAlignment w:val="auto"/>
        <w:rPr>
          <w:rFonts w:hint="default" w:ascii="Times New Roman" w:hAnsi="Times New Roman" w:cs="Times New Roman"/>
          <w:color w:val="auto"/>
          <w:sz w:val="32"/>
          <w:szCs w:val="32"/>
        </w:rPr>
      </w:pPr>
      <w:r>
        <w:rPr>
          <w:rFonts w:hint="eastAsia"/>
          <w:b/>
          <w:bCs/>
          <w:color w:val="auto"/>
          <w:lang w:val="en-US" w:eastAsia="zh-CN"/>
        </w:rPr>
        <w:t>基础设施建设夯实发展之基。</w:t>
      </w:r>
      <w:r>
        <w:rPr>
          <w:rFonts w:hint="default" w:ascii="Times New Roman" w:hAnsi="Times New Roman" w:cs="Times New Roman"/>
          <w:color w:val="auto"/>
          <w:sz w:val="32"/>
          <w:szCs w:val="32"/>
        </w:rPr>
        <w:t>园区已初步具备农业生产所</w:t>
      </w:r>
      <w:r>
        <w:rPr>
          <w:rFonts w:hint="eastAsia" w:ascii="仿宋" w:hAnsi="仿宋" w:eastAsia="仿宋" w:cs="仿宋"/>
          <w:color w:val="auto"/>
          <w:sz w:val="32"/>
          <w:szCs w:val="32"/>
        </w:rPr>
        <w:t>需“三通一平”的基</w:t>
      </w:r>
      <w:r>
        <w:rPr>
          <w:rFonts w:hint="default" w:ascii="Times New Roman" w:hAnsi="Times New Roman" w:cs="Times New Roman"/>
          <w:color w:val="auto"/>
          <w:sz w:val="32"/>
          <w:szCs w:val="32"/>
        </w:rPr>
        <w:t>本要求。</w:t>
      </w:r>
      <w:r>
        <w:rPr>
          <w:rFonts w:hint="default" w:ascii="Times New Roman" w:hAnsi="Times New Roman" w:cs="Times New Roman"/>
          <w:b/>
          <w:color w:val="auto"/>
          <w:sz w:val="32"/>
          <w:szCs w:val="32"/>
        </w:rPr>
        <w:t>交通线路分布合理。</w:t>
      </w:r>
      <w:r>
        <w:rPr>
          <w:rFonts w:hint="eastAsia" w:ascii="Times New Roman" w:hAnsi="Times New Roman" w:cs="Times New Roman"/>
          <w:color w:val="auto"/>
          <w:sz w:val="32"/>
          <w:szCs w:val="32"/>
          <w:lang w:val="en-US" w:eastAsia="zh-CN"/>
        </w:rPr>
        <w:t>哈大客运专线、京哈铁路途经</w:t>
      </w:r>
      <w:r>
        <w:rPr>
          <w:rFonts w:hint="default" w:ascii="Times New Roman" w:hAnsi="Times New Roman" w:cs="Times New Roman"/>
          <w:color w:val="auto"/>
          <w:sz w:val="32"/>
          <w:szCs w:val="32"/>
        </w:rPr>
        <w:t>园区，周边公路系统发达，</w:t>
      </w:r>
      <w:r>
        <w:rPr>
          <w:rFonts w:hint="eastAsia" w:ascii="Times New Roman" w:hAnsi="Times New Roman" w:cs="Times New Roman"/>
          <w:color w:val="auto"/>
          <w:sz w:val="32"/>
          <w:szCs w:val="32"/>
          <w:lang w:val="en-US" w:eastAsia="zh-CN"/>
        </w:rPr>
        <w:t>京哈高速、S302省道、G102国道、环长春经济圈高速等</w:t>
      </w:r>
      <w:r>
        <w:rPr>
          <w:rFonts w:hint="default" w:ascii="Times New Roman" w:hAnsi="Times New Roman" w:cs="Times New Roman"/>
          <w:color w:val="auto"/>
          <w:sz w:val="32"/>
          <w:szCs w:val="32"/>
        </w:rPr>
        <w:t>交通主动脉从产业园区通过，内部道路四通八达。</w:t>
      </w:r>
      <w:r>
        <w:rPr>
          <w:rFonts w:hint="default" w:ascii="Times New Roman" w:hAnsi="Times New Roman" w:cs="Times New Roman"/>
          <w:b/>
          <w:color w:val="auto"/>
          <w:sz w:val="32"/>
          <w:szCs w:val="32"/>
        </w:rPr>
        <w:t>水电通讯设施完备。</w:t>
      </w:r>
      <w:r>
        <w:rPr>
          <w:rFonts w:hint="default" w:ascii="Times New Roman" w:hAnsi="Times New Roman" w:cs="Times New Roman"/>
          <w:bCs/>
          <w:color w:val="auto"/>
          <w:sz w:val="32"/>
          <w:szCs w:val="32"/>
        </w:rPr>
        <w:t>园区现有水电设施完备。</w:t>
      </w:r>
      <w:r>
        <w:rPr>
          <w:rFonts w:hint="eastAsia" w:cs="Times New Roman"/>
          <w:bCs/>
          <w:color w:val="auto"/>
          <w:sz w:val="32"/>
          <w:szCs w:val="32"/>
          <w:lang w:val="en-US" w:eastAsia="zh-CN"/>
        </w:rPr>
        <w:t>建有机井872座，包括农业灌溉地下取水口669座和农村安全饮水工程取水口203座，</w:t>
      </w:r>
      <w:r>
        <w:rPr>
          <w:rFonts w:hint="default" w:ascii="Times New Roman" w:hAnsi="Times New Roman" w:cs="Times New Roman"/>
          <w:bCs/>
          <w:color w:val="auto"/>
          <w:sz w:val="32"/>
          <w:szCs w:val="32"/>
        </w:rPr>
        <w:t>给排水设施完备，能够满足产业园区用水需求。</w:t>
      </w:r>
      <w:r>
        <w:rPr>
          <w:rFonts w:hint="default" w:ascii="Times New Roman" w:hAnsi="Times New Roman" w:cs="Times New Roman"/>
          <w:color w:val="auto"/>
          <w:sz w:val="32"/>
          <w:szCs w:val="32"/>
        </w:rPr>
        <w:t>现有电力基础设施能够满足机井取水、管道输水、</w:t>
      </w:r>
      <w:r>
        <w:rPr>
          <w:rFonts w:hint="eastAsia" w:ascii="Times New Roman" w:hAnsi="Times New Roman" w:cs="Times New Roman"/>
          <w:color w:val="auto"/>
          <w:sz w:val="32"/>
          <w:szCs w:val="32"/>
          <w:lang w:val="en-US" w:eastAsia="zh-CN"/>
        </w:rPr>
        <w:t>养殖</w:t>
      </w:r>
      <w:r>
        <w:rPr>
          <w:rFonts w:hint="default" w:ascii="Times New Roman" w:hAnsi="Times New Roman" w:cs="Times New Roman"/>
          <w:color w:val="auto"/>
          <w:sz w:val="32"/>
          <w:szCs w:val="32"/>
        </w:rPr>
        <w:t>、加工等用电需求。产业园内行政村宽带网络建设完善，广播电视网络覆盖率、通宽带比例均达100%，4G信号全覆盖，形成了多网融合、高通量信息通讯格局。</w:t>
      </w:r>
    </w:p>
    <w:p>
      <w:pPr>
        <w:pageBreakBefore w:val="0"/>
        <w:kinsoku/>
        <w:wordWrap/>
        <w:overflowPunct/>
        <w:topLinePunct w:val="0"/>
        <w:bidi w:val="0"/>
        <w:snapToGrid w:val="0"/>
        <w:spacing w:line="360" w:lineRule="auto"/>
        <w:ind w:firstLine="640"/>
        <w:rPr>
          <w:rFonts w:hint="eastAsia"/>
          <w:color w:val="auto"/>
        </w:rPr>
      </w:pPr>
      <w:bookmarkStart w:id="17" w:name="_Toc338446747"/>
      <w:r>
        <w:rPr>
          <w:rFonts w:hint="eastAsia"/>
          <w:b/>
          <w:bCs/>
          <w:color w:val="auto"/>
          <w:lang w:val="en-US" w:eastAsia="zh-CN"/>
        </w:rPr>
        <w:t>经济向好社会发展向新。</w:t>
      </w:r>
      <w:r>
        <w:rPr>
          <w:rFonts w:hint="eastAsia"/>
          <w:color w:val="auto"/>
        </w:rPr>
        <w:t>2017</w:t>
      </w:r>
      <w:r>
        <w:rPr>
          <w:rFonts w:hint="eastAsia" w:ascii="仿宋" w:hAnsi="仿宋"/>
          <w:color w:val="auto"/>
        </w:rPr>
        <w:t>年德惠市肉鸡现代农业产业园被认定为长春市第一批市级现代农业产业园，</w:t>
      </w:r>
      <w:r>
        <w:rPr>
          <w:rFonts w:hint="eastAsia"/>
          <w:color w:val="auto"/>
        </w:rPr>
        <w:t>2019</w:t>
      </w:r>
      <w:r>
        <w:rPr>
          <w:rFonts w:hint="eastAsia" w:ascii="仿宋" w:hAnsi="仿宋"/>
          <w:color w:val="auto"/>
        </w:rPr>
        <w:t>年被认定为省级现代农业产业园创建单位。</w:t>
      </w:r>
      <w:r>
        <w:rPr>
          <w:rFonts w:hint="eastAsia"/>
          <w:color w:val="auto"/>
          <w:lang w:val="en-US" w:eastAsia="zh-CN"/>
        </w:rPr>
        <w:t>经过多年发展，产业园建设初见成效。</w:t>
      </w:r>
      <w:r>
        <w:rPr>
          <w:rFonts w:hint="eastAsia"/>
          <w:color w:val="auto"/>
        </w:rPr>
        <w:t>202</w:t>
      </w:r>
      <w:r>
        <w:rPr>
          <w:rFonts w:hint="eastAsia"/>
          <w:color w:val="auto"/>
          <w:lang w:val="en-US" w:eastAsia="zh-CN"/>
        </w:rPr>
        <w:t>3</w:t>
      </w:r>
      <w:r>
        <w:rPr>
          <w:rFonts w:hint="eastAsia"/>
          <w:color w:val="auto"/>
        </w:rPr>
        <w:t>年，德惠市肉鸡现代农业产业园总产值达</w:t>
      </w:r>
      <w:r>
        <w:rPr>
          <w:rFonts w:hint="eastAsia"/>
          <w:color w:val="auto"/>
          <w:lang w:val="en-US" w:eastAsia="zh-CN"/>
        </w:rPr>
        <w:t>187.8</w:t>
      </w:r>
      <w:r>
        <w:rPr>
          <w:rFonts w:hint="eastAsia"/>
          <w:color w:val="auto"/>
        </w:rPr>
        <w:t>亿元，主导产业肉鸡产业实现产值</w:t>
      </w:r>
      <w:r>
        <w:rPr>
          <w:rFonts w:hint="eastAsia"/>
          <w:color w:val="auto"/>
          <w:lang w:val="en-US" w:eastAsia="zh-CN"/>
        </w:rPr>
        <w:t>99.13</w:t>
      </w:r>
      <w:r>
        <w:rPr>
          <w:rFonts w:hint="eastAsia"/>
          <w:color w:val="auto"/>
        </w:rPr>
        <w:t>亿元，占园区总产值比重</w:t>
      </w:r>
      <w:r>
        <w:rPr>
          <w:rFonts w:hint="eastAsia"/>
          <w:color w:val="auto"/>
          <w:lang w:val="en-US" w:eastAsia="zh-CN"/>
        </w:rPr>
        <w:t>52.78</w:t>
      </w:r>
      <w:r>
        <w:rPr>
          <w:rFonts w:hint="eastAsia"/>
          <w:color w:val="auto"/>
        </w:rPr>
        <w:t>%</w:t>
      </w:r>
      <w:r>
        <w:rPr>
          <w:rFonts w:hint="eastAsia"/>
          <w:color w:val="auto"/>
          <w:lang w:eastAsia="zh-CN"/>
        </w:rPr>
        <w:t>，</w:t>
      </w:r>
      <w:r>
        <w:rPr>
          <w:rFonts w:hint="eastAsia"/>
          <w:color w:val="auto"/>
        </w:rPr>
        <w:t>主导产业加工转化率达100%。带动农户</w:t>
      </w:r>
      <w:r>
        <w:rPr>
          <w:rFonts w:hint="eastAsia"/>
          <w:color w:val="auto"/>
          <w:lang w:val="en-US" w:eastAsia="zh-CN"/>
        </w:rPr>
        <w:t>就业6.96</w:t>
      </w:r>
      <w:r>
        <w:rPr>
          <w:rFonts w:hint="eastAsia"/>
          <w:color w:val="auto"/>
        </w:rPr>
        <w:t>万余</w:t>
      </w:r>
      <w:r>
        <w:rPr>
          <w:rFonts w:hint="eastAsia"/>
          <w:color w:val="auto"/>
          <w:lang w:val="en-US" w:eastAsia="zh-CN"/>
        </w:rPr>
        <w:t>人</w:t>
      </w:r>
      <w:r>
        <w:rPr>
          <w:rFonts w:hint="eastAsia"/>
          <w:color w:val="auto"/>
        </w:rPr>
        <w:t>，人均可支配收入</w:t>
      </w:r>
      <w:r>
        <w:rPr>
          <w:rFonts w:hint="eastAsia"/>
          <w:color w:val="auto"/>
          <w:lang w:val="en-US" w:eastAsia="zh-CN"/>
        </w:rPr>
        <w:t>27213</w:t>
      </w:r>
      <w:r>
        <w:rPr>
          <w:rFonts w:hint="eastAsia"/>
          <w:color w:val="auto"/>
        </w:rPr>
        <w:t>元，高于德惠市</w:t>
      </w:r>
      <w:r>
        <w:rPr>
          <w:rFonts w:hint="eastAsia"/>
          <w:color w:val="auto"/>
          <w:lang w:val="en-US" w:eastAsia="zh-CN"/>
        </w:rPr>
        <w:t>镇域</w:t>
      </w:r>
      <w:r>
        <w:rPr>
          <w:rFonts w:hint="eastAsia"/>
          <w:color w:val="auto"/>
        </w:rPr>
        <w:t>农民人均可支配收入</w:t>
      </w:r>
      <w:r>
        <w:rPr>
          <w:rFonts w:hint="eastAsia"/>
          <w:color w:val="auto"/>
          <w:lang w:val="en-US" w:eastAsia="zh-CN"/>
        </w:rPr>
        <w:t>20645</w:t>
      </w:r>
      <w:r>
        <w:rPr>
          <w:rFonts w:hint="eastAsia"/>
          <w:color w:val="auto"/>
        </w:rPr>
        <w:t>元</w:t>
      </w:r>
      <w:r>
        <w:rPr>
          <w:rFonts w:hint="eastAsia"/>
          <w:color w:val="auto"/>
          <w:lang w:val="en-US" w:eastAsia="zh-CN"/>
        </w:rPr>
        <w:t>31.81</w:t>
      </w:r>
      <w:r>
        <w:rPr>
          <w:rFonts w:hint="eastAsia"/>
          <w:color w:val="auto"/>
        </w:rPr>
        <w:t>%。</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eastAsia" w:ascii="Times New Roman" w:hAnsi="Times New Roman" w:eastAsia="楷体" w:cs="Times New Roman"/>
          <w:bCs/>
          <w:color w:val="auto"/>
          <w:lang w:val="en-US" w:eastAsia="zh-CN"/>
        </w:rPr>
      </w:pPr>
      <w:bookmarkStart w:id="18" w:name="_Toc22467"/>
      <w:r>
        <w:rPr>
          <w:rFonts w:hint="eastAsia" w:eastAsia="楷体" w:cs="Times New Roman"/>
          <w:bCs/>
          <w:color w:val="auto"/>
          <w:lang w:val="en-US" w:eastAsia="zh-CN"/>
        </w:rPr>
        <w:t>（四）</w:t>
      </w:r>
      <w:r>
        <w:rPr>
          <w:rFonts w:hint="eastAsia" w:ascii="Times New Roman" w:hAnsi="Times New Roman" w:eastAsia="楷体" w:cs="Times New Roman"/>
          <w:bCs/>
          <w:color w:val="auto"/>
          <w:lang w:val="en-US" w:eastAsia="zh-CN"/>
        </w:rPr>
        <w:t>主导产业</w:t>
      </w:r>
      <w:bookmarkEnd w:id="17"/>
      <w:r>
        <w:rPr>
          <w:rFonts w:hint="eastAsia" w:eastAsia="楷体" w:cs="Times New Roman"/>
          <w:bCs/>
          <w:color w:val="auto"/>
          <w:lang w:val="en-US" w:eastAsia="zh-CN"/>
        </w:rPr>
        <w:t>概况</w:t>
      </w:r>
      <w:bookmarkEnd w:id="18"/>
    </w:p>
    <w:p>
      <w:pPr>
        <w:pageBreakBefore w:val="0"/>
        <w:kinsoku/>
        <w:wordWrap/>
        <w:overflowPunct/>
        <w:topLinePunct w:val="0"/>
        <w:bidi w:val="0"/>
        <w:adjustRightInd w:val="0"/>
        <w:snapToGrid w:val="0"/>
        <w:spacing w:line="360" w:lineRule="auto"/>
        <w:ind w:firstLine="640"/>
        <w:rPr>
          <w:rFonts w:hint="eastAsia"/>
          <w:color w:val="auto"/>
        </w:rPr>
      </w:pPr>
      <w:r>
        <w:rPr>
          <w:rFonts w:hint="eastAsia"/>
          <w:b/>
          <w:bCs/>
          <w:color w:val="auto"/>
        </w:rPr>
        <w:t>肉鸡产业链条完整</w:t>
      </w:r>
      <w:r>
        <w:rPr>
          <w:rFonts w:hint="eastAsia"/>
          <w:color w:val="auto"/>
        </w:rPr>
        <w:t>。建立了覆盖祖代种鸡、父母代种鸡、孵化、肉鸡、饲料、屠宰加工、冷链物流、粪污利用、病死鸡无害化处理等完整的产业链条</w:t>
      </w:r>
      <w:r>
        <w:rPr>
          <w:rFonts w:hint="eastAsia"/>
          <w:color w:val="auto"/>
          <w:lang w:eastAsia="zh-CN"/>
        </w:rPr>
        <w:t>，</w:t>
      </w:r>
      <w:r>
        <w:rPr>
          <w:rFonts w:hint="eastAsia"/>
          <w:color w:val="auto"/>
          <w:lang w:val="en-US" w:eastAsia="zh-CN"/>
        </w:rPr>
        <w:t>构建了“粮头食尾”“农头工尾”“畜头肉尾”相连成链、相映成业的创新模式</w:t>
      </w:r>
      <w:r>
        <w:rPr>
          <w:rFonts w:hint="eastAsia"/>
          <w:color w:val="auto"/>
        </w:rPr>
        <w:t>。</w:t>
      </w:r>
    </w:p>
    <w:p>
      <w:pPr>
        <w:pageBreakBefore w:val="0"/>
        <w:kinsoku/>
        <w:wordWrap/>
        <w:overflowPunct/>
        <w:topLinePunct w:val="0"/>
        <w:bidi w:val="0"/>
        <w:adjustRightInd w:val="0"/>
        <w:snapToGrid w:val="0"/>
        <w:spacing w:line="360" w:lineRule="auto"/>
        <w:ind w:firstLine="640"/>
        <w:rPr>
          <w:rFonts w:hint="eastAsia"/>
          <w:color w:val="auto"/>
          <w:lang w:val="en-US" w:eastAsia="zh-CN"/>
        </w:rPr>
      </w:pPr>
      <w:r>
        <w:rPr>
          <w:rFonts w:hint="eastAsia"/>
          <w:b/>
          <w:bCs/>
          <w:color w:val="auto"/>
          <w:lang w:val="en-US" w:eastAsia="zh-CN"/>
        </w:rPr>
        <w:t>在产业链前端。</w:t>
      </w:r>
      <w:r>
        <w:rPr>
          <w:rFonts w:hint="eastAsia"/>
          <w:b w:val="0"/>
          <w:bCs w:val="0"/>
          <w:color w:val="auto"/>
          <w:lang w:val="en-US" w:eastAsia="zh-CN"/>
        </w:rPr>
        <w:t>园区肉鸡良种体系较为完善，主要品种为AA+白羽肉鸡，具有体型大、生长发育快、适应性强、饲料转化率高等特点，平均出栏体重2.75公斤，2023年吉星公司引进国外祖代肉种鸡4万套，德翔公司引进祖代肉种鸡2万套。积极构建了优质玉米标准化生产示范区，建成了绿色水稻标准化生产示范区，入园企业德翔集团建设了集种鸡繁育、孵化和肉鸡养殖于一体的1亿只鸡标准化肉鸡生产示范区。园区</w:t>
      </w:r>
      <w:r>
        <w:rPr>
          <w:rFonts w:hint="eastAsia"/>
          <w:color w:val="auto"/>
        </w:rPr>
        <w:t>现</w:t>
      </w:r>
      <w:r>
        <w:rPr>
          <w:rFonts w:hint="eastAsia"/>
          <w:color w:val="auto"/>
          <w:lang w:val="en-US" w:eastAsia="zh-CN"/>
        </w:rPr>
        <w:t>建有祖代肉种鸡场2个，饲养能力12万套，</w:t>
      </w:r>
      <w:r>
        <w:rPr>
          <w:rFonts w:hint="eastAsia"/>
          <w:color w:val="auto"/>
        </w:rPr>
        <w:t>父母代肉种鸡</w:t>
      </w:r>
      <w:r>
        <w:rPr>
          <w:rFonts w:hint="eastAsia"/>
          <w:color w:val="auto"/>
          <w:lang w:val="en-US" w:eastAsia="zh-CN"/>
        </w:rPr>
        <w:t>场20余个，饲养能力200万套以上，现存栏父母代肉种鸡150万只，年可产商品鸡雏2.3亿只，</w:t>
      </w:r>
      <w:r>
        <w:rPr>
          <w:rFonts w:hint="eastAsia"/>
          <w:color w:val="auto"/>
        </w:rPr>
        <w:t>已形成祖代、父母代、商品代扩散递增的良性格局。建成年出栏万只以上的肉鸡规模养殖场282</w:t>
      </w:r>
      <w:r>
        <w:rPr>
          <w:rFonts w:hint="eastAsia"/>
          <w:color w:val="auto"/>
          <w:lang w:val="en-US" w:eastAsia="zh-CN"/>
        </w:rPr>
        <w:t>个</w:t>
      </w:r>
      <w:r>
        <w:rPr>
          <w:rFonts w:hint="eastAsia"/>
          <w:color w:val="auto"/>
        </w:rPr>
        <w:t>，省、市级标准化肉鸡养殖小区120个，其中年出栏200万只以上的肉鸡养殖场</w:t>
      </w:r>
      <w:r>
        <w:rPr>
          <w:rFonts w:hint="eastAsia"/>
          <w:color w:val="auto"/>
          <w:lang w:val="en-US" w:eastAsia="zh-CN"/>
        </w:rPr>
        <w:t>6</w:t>
      </w:r>
      <w:r>
        <w:rPr>
          <w:rFonts w:hint="eastAsia"/>
          <w:color w:val="auto"/>
        </w:rPr>
        <w:t>个</w:t>
      </w:r>
      <w:r>
        <w:rPr>
          <w:rFonts w:hint="eastAsia"/>
          <w:color w:val="auto"/>
          <w:lang w:eastAsia="zh-CN"/>
        </w:rPr>
        <w:t>，</w:t>
      </w:r>
      <w:r>
        <w:rPr>
          <w:rFonts w:hint="eastAsia"/>
          <w:color w:val="auto"/>
          <w:lang w:val="en-US" w:eastAsia="zh-CN"/>
        </w:rPr>
        <w:t>国家级标准化示范场1个，省级标准化示范场5个，市级标准化示范场16个</w:t>
      </w:r>
      <w:r>
        <w:rPr>
          <w:rFonts w:hint="eastAsia"/>
          <w:color w:val="auto"/>
        </w:rPr>
        <w:t>。</w:t>
      </w:r>
      <w:r>
        <w:rPr>
          <w:rFonts w:hint="eastAsia"/>
          <w:color w:val="auto"/>
          <w:lang w:val="en-US" w:eastAsia="zh-CN"/>
        </w:rPr>
        <w:t>园区肉鸡养殖量达到6700万只，标准化养殖水平达到100%。</w:t>
      </w:r>
    </w:p>
    <w:p>
      <w:pPr>
        <w:pageBreakBefore w:val="0"/>
        <w:kinsoku/>
        <w:wordWrap/>
        <w:overflowPunct/>
        <w:topLinePunct w:val="0"/>
        <w:bidi w:val="0"/>
        <w:adjustRightInd w:val="0"/>
        <w:snapToGrid w:val="0"/>
        <w:spacing w:line="360" w:lineRule="auto"/>
        <w:ind w:firstLine="640"/>
        <w:rPr>
          <w:rFonts w:hint="eastAsia"/>
          <w:color w:val="auto"/>
        </w:rPr>
      </w:pPr>
      <w:r>
        <w:rPr>
          <w:rFonts w:hint="eastAsia"/>
          <w:b/>
          <w:bCs/>
          <w:color w:val="auto"/>
          <w:lang w:val="en-US" w:eastAsia="zh-CN"/>
        </w:rPr>
        <w:t>在产业链中端。</w:t>
      </w:r>
      <w:r>
        <w:rPr>
          <w:rFonts w:hint="eastAsia"/>
          <w:b w:val="0"/>
          <w:bCs w:val="0"/>
          <w:color w:val="auto"/>
          <w:lang w:val="en-US" w:eastAsia="zh-CN"/>
        </w:rPr>
        <w:t>充分发挥省级农产品加工示范区、全国水稻产业集群创建区和肉鸡、水稻、生猪3个省级现代农业产业园的集聚优势，集中培育农产品加工示范园区，实现</w:t>
      </w:r>
      <w:r>
        <w:rPr>
          <w:rFonts w:hint="eastAsia" w:ascii="仿宋" w:hAnsi="仿宋" w:eastAsia="仿宋"/>
          <w:color w:val="auto"/>
          <w:sz w:val="32"/>
          <w:szCs w:val="40"/>
        </w:rPr>
        <w:t>串珠成线、连块成带、集群成链</w:t>
      </w:r>
      <w:r>
        <w:rPr>
          <w:rFonts w:hint="eastAsia" w:ascii="仿宋" w:hAnsi="仿宋"/>
          <w:color w:val="auto"/>
          <w:sz w:val="32"/>
          <w:szCs w:val="40"/>
          <w:lang w:eastAsia="zh-CN"/>
        </w:rPr>
        <w:t>。</w:t>
      </w:r>
      <w:r>
        <w:rPr>
          <w:rFonts w:hint="eastAsia" w:ascii="仿宋" w:hAnsi="仿宋"/>
          <w:color w:val="auto"/>
          <w:sz w:val="32"/>
          <w:szCs w:val="40"/>
          <w:lang w:val="en-US" w:eastAsia="zh-CN"/>
        </w:rPr>
        <w:t>高度</w:t>
      </w:r>
      <w:r>
        <w:rPr>
          <w:rFonts w:hint="eastAsia"/>
          <w:b w:val="0"/>
          <w:bCs w:val="0"/>
          <w:color w:val="auto"/>
          <w:lang w:val="en-US" w:eastAsia="zh-CN"/>
        </w:rPr>
        <w:t>落实“大食物观”，把肉鸡产业作出高质量，不断开发以鸡肉为主的预制菜、休闲食品等，域内</w:t>
      </w:r>
      <w:r>
        <w:rPr>
          <w:rFonts w:hint="eastAsia"/>
          <w:color w:val="auto"/>
        </w:rPr>
        <w:t>有德翔、德大、禾丰</w:t>
      </w:r>
      <w:r>
        <w:rPr>
          <w:rFonts w:hint="eastAsia"/>
          <w:color w:val="auto"/>
          <w:lang w:eastAsia="zh-CN"/>
        </w:rPr>
        <w:t>、</w:t>
      </w:r>
      <w:r>
        <w:rPr>
          <w:rFonts w:hint="eastAsia"/>
          <w:color w:val="auto"/>
          <w:lang w:val="en-US" w:eastAsia="zh-CN"/>
        </w:rPr>
        <w:t>耘垦4</w:t>
      </w:r>
      <w:r>
        <w:rPr>
          <w:rFonts w:hint="eastAsia"/>
          <w:color w:val="auto"/>
        </w:rPr>
        <w:t>家</w:t>
      </w:r>
      <w:r>
        <w:rPr>
          <w:rFonts w:hint="eastAsia"/>
          <w:color w:val="auto"/>
          <w:lang w:val="en-US" w:eastAsia="zh-CN"/>
        </w:rPr>
        <w:t>大型</w:t>
      </w:r>
      <w:r>
        <w:rPr>
          <w:rFonts w:hint="eastAsia"/>
          <w:color w:val="auto"/>
        </w:rPr>
        <w:t>肉鸡</w:t>
      </w:r>
      <w:r>
        <w:rPr>
          <w:rFonts w:hint="eastAsia"/>
          <w:color w:val="auto"/>
          <w:lang w:val="en-US" w:eastAsia="zh-CN"/>
        </w:rPr>
        <w:t>屠宰</w:t>
      </w:r>
      <w:r>
        <w:rPr>
          <w:rFonts w:hint="eastAsia"/>
          <w:color w:val="auto"/>
        </w:rPr>
        <w:t>加工企业，年</w:t>
      </w:r>
      <w:r>
        <w:rPr>
          <w:rFonts w:hint="eastAsia"/>
          <w:color w:val="auto"/>
          <w:lang w:val="en-US" w:eastAsia="zh-CN"/>
        </w:rPr>
        <w:t>屠宰</w:t>
      </w:r>
      <w:r>
        <w:rPr>
          <w:rFonts w:hint="eastAsia"/>
          <w:color w:val="auto"/>
        </w:rPr>
        <w:t>加工能力</w:t>
      </w:r>
      <w:r>
        <w:rPr>
          <w:rFonts w:hint="eastAsia"/>
          <w:color w:val="auto"/>
          <w:lang w:val="en-US" w:eastAsia="zh-CN"/>
        </w:rPr>
        <w:t>达到2</w:t>
      </w:r>
      <w:r>
        <w:rPr>
          <w:rFonts w:hint="eastAsia"/>
          <w:color w:val="auto"/>
        </w:rPr>
        <w:t>亿只</w:t>
      </w:r>
      <w:r>
        <w:rPr>
          <w:rFonts w:hint="eastAsia"/>
          <w:color w:val="auto"/>
          <w:lang w:eastAsia="zh-CN"/>
        </w:rPr>
        <w:t>，</w:t>
      </w:r>
      <w:r>
        <w:rPr>
          <w:rFonts w:hint="eastAsia"/>
          <w:color w:val="auto"/>
          <w:lang w:val="en-US" w:eastAsia="zh-CN"/>
        </w:rPr>
        <w:t>逐步将肉鸡产业打造成为高标准高质量的百亿级产业集群</w:t>
      </w:r>
      <w:r>
        <w:rPr>
          <w:rFonts w:hint="eastAsia"/>
          <w:color w:val="auto"/>
        </w:rPr>
        <w:t>。承担了畜禽粪污资源化利用整县推进项目，鸡粪有机肥生产能力达24万吨，资源化利用率达</w:t>
      </w:r>
      <w:r>
        <w:rPr>
          <w:rFonts w:hint="eastAsia"/>
          <w:color w:val="auto"/>
          <w:lang w:val="en-US" w:eastAsia="zh-CN"/>
        </w:rPr>
        <w:t>95.8</w:t>
      </w:r>
      <w:r>
        <w:rPr>
          <w:rFonts w:hint="eastAsia"/>
          <w:color w:val="auto"/>
        </w:rPr>
        <w:t>%。</w:t>
      </w:r>
      <w:r>
        <w:rPr>
          <w:rFonts w:hint="eastAsia"/>
          <w:color w:val="auto"/>
          <w:lang w:val="en-US" w:eastAsia="zh-CN"/>
        </w:rPr>
        <w:t>在鸡羽毛、鸡血、鸡内脏、鸡骨架等高附加值利用方面做足文章，开发宠物食品、羽毛蛋白粉、血清蛋白粉等产品，不断提高肉鸡屠宰副产物综合利用水平。</w:t>
      </w:r>
      <w:r>
        <w:rPr>
          <w:rFonts w:hint="eastAsia"/>
          <w:color w:val="auto"/>
        </w:rPr>
        <w:t>德翔、德大、新希望六合等6座大型肉鸡饲料厂，年生产饲料</w:t>
      </w:r>
      <w:r>
        <w:rPr>
          <w:rFonts w:hint="eastAsia"/>
          <w:color w:val="auto"/>
          <w:lang w:val="en-US" w:eastAsia="zh-CN"/>
        </w:rPr>
        <w:t>100</w:t>
      </w:r>
      <w:r>
        <w:rPr>
          <w:rFonts w:hint="eastAsia"/>
          <w:color w:val="auto"/>
        </w:rPr>
        <w:t>万吨，除满足本市肉鸡生产外，还销往外埠。</w:t>
      </w:r>
    </w:p>
    <w:p>
      <w:pPr>
        <w:pageBreakBefore w:val="0"/>
        <w:kinsoku/>
        <w:wordWrap/>
        <w:overflowPunct/>
        <w:topLinePunct w:val="0"/>
        <w:bidi w:val="0"/>
        <w:adjustRightInd w:val="0"/>
        <w:snapToGrid w:val="0"/>
        <w:spacing w:line="360" w:lineRule="auto"/>
        <w:ind w:firstLine="640"/>
        <w:rPr>
          <w:rFonts w:hint="eastAsia"/>
          <w:b w:val="0"/>
          <w:bCs w:val="0"/>
          <w:color w:val="auto"/>
          <w:highlight w:val="none"/>
          <w:lang w:val="en-US" w:eastAsia="zh-CN"/>
        </w:rPr>
      </w:pPr>
      <w:r>
        <w:rPr>
          <w:rFonts w:hint="eastAsia"/>
          <w:b/>
          <w:bCs/>
          <w:color w:val="auto"/>
          <w:highlight w:val="none"/>
          <w:lang w:val="en-US" w:eastAsia="zh-CN"/>
        </w:rPr>
        <w:t>在产业链后端。</w:t>
      </w:r>
      <w:r>
        <w:rPr>
          <w:rFonts w:ascii="Times New Roman" w:hAnsi="Times New Roman" w:eastAsia="仿宋" w:cs="Times New Roman"/>
          <w:color w:val="auto"/>
          <w:sz w:val="32"/>
          <w:szCs w:val="32"/>
          <w:highlight w:val="none"/>
        </w:rPr>
        <w:t>全市制定了粮食收购应急预案，建立了覆盖</w:t>
      </w:r>
      <w:r>
        <w:rPr>
          <w:rFonts w:ascii="Times New Roman" w:hAnsi="Times New Roman" w:eastAsia="仿宋" w:cs="Times New Roman"/>
          <w:color w:val="auto"/>
          <w:sz w:val="32"/>
          <w:szCs w:val="32"/>
        </w:rPr>
        <w:t>全市的粮食收购信息监测网络。德惠新良国家粮食储备库通过数字赋能，建立了粮食质量监测体系、绿色储粮工程体系、储备设备自动化升级等，成为典型经验在全国示范推广。全市</w:t>
      </w:r>
      <w:r>
        <w:rPr>
          <w:rFonts w:hint="eastAsia" w:cs="Times New Roman"/>
          <w:color w:val="auto"/>
          <w:sz w:val="32"/>
          <w:szCs w:val="32"/>
          <w:lang w:val="en-US" w:eastAsia="zh-CN"/>
        </w:rPr>
        <w:t>肉鸡屠宰加工厂冷库储存能力1.3万吨，冷藏运输车辆满载运输能力2000万吨以上。</w:t>
      </w:r>
      <w:r>
        <w:rPr>
          <w:rFonts w:ascii="Times New Roman" w:hAnsi="Times New Roman" w:eastAsia="仿宋" w:cs="Times New Roman"/>
          <w:color w:val="auto"/>
          <w:sz w:val="32"/>
          <w:szCs w:val="32"/>
        </w:rPr>
        <w:t>肉鸡龙头企业德翔集团建设了2条铁路专用线，实现全天候发送，配备冷库2座，年仓储物流能力达到100万吨。</w:t>
      </w:r>
      <w:r>
        <w:rPr>
          <w:rFonts w:hint="eastAsia" w:cs="Times New Roman"/>
          <w:color w:val="auto"/>
          <w:sz w:val="32"/>
          <w:szCs w:val="32"/>
          <w:lang w:val="en-US" w:eastAsia="zh-CN"/>
        </w:rPr>
        <w:t>吉林德大在惠发街道等地建有7个线下直营店，公司在域内与2405家零售门店合作，产品覆盖餐饮网点3756家；德翔食品拥有老干妈等知名大企合作伙伴，吉林省第一书记做客线上直播间代言肉鸡产品，产品营销市场逐步扩大。</w:t>
      </w:r>
      <w:r>
        <w:rPr>
          <w:rFonts w:hint="eastAsia"/>
          <w:b w:val="0"/>
          <w:bCs w:val="0"/>
          <w:color w:val="auto"/>
          <w:highlight w:val="none"/>
          <w:lang w:val="en-US" w:eastAsia="zh-CN"/>
        </w:rPr>
        <w:t>肉鸡产业已成为德惠对外开放的亮丽名片，带动了饲料、运输、兽药、包装、餐饮等相关行业发展。</w:t>
      </w:r>
    </w:p>
    <w:p>
      <w:pPr>
        <w:pageBreakBefore w:val="0"/>
        <w:kinsoku/>
        <w:wordWrap/>
        <w:overflowPunct/>
        <w:topLinePunct w:val="0"/>
        <w:bidi w:val="0"/>
        <w:snapToGrid w:val="0"/>
        <w:spacing w:line="360" w:lineRule="auto"/>
        <w:ind w:firstLine="643"/>
        <w:rPr>
          <w:rFonts w:hint="eastAsia"/>
          <w:color w:val="auto"/>
        </w:rPr>
      </w:pPr>
      <w:r>
        <w:rPr>
          <w:rFonts w:hint="eastAsia"/>
          <w:b/>
          <w:bCs/>
          <w:color w:val="auto"/>
        </w:rPr>
        <w:t>经营主体实力雄厚</w:t>
      </w:r>
      <w:r>
        <w:rPr>
          <w:rFonts w:hint="eastAsia"/>
          <w:color w:val="auto"/>
        </w:rPr>
        <w:t>。</w:t>
      </w:r>
      <w:r>
        <w:rPr>
          <w:rFonts w:hint="eastAsia" w:ascii="仿宋" w:hAnsi="仿宋" w:eastAsia="仿宋"/>
          <w:b w:val="0"/>
          <w:bCs/>
          <w:color w:val="auto"/>
          <w:highlight w:val="none"/>
        </w:rPr>
        <w:t>积极培育新型农业经营主体，鼓励成立家庭农场和种植大户。通过宣传引导、示范带动、政策吸引等措施，培育了一批产业特色明显、带动</w:t>
      </w:r>
      <w:r>
        <w:rPr>
          <w:rFonts w:hint="eastAsia" w:ascii="仿宋" w:hAnsi="仿宋"/>
          <w:b w:val="0"/>
          <w:bCs/>
          <w:color w:val="auto"/>
          <w:highlight w:val="none"/>
          <w:lang w:val="en-US" w:eastAsia="zh-CN"/>
        </w:rPr>
        <w:t>力</w:t>
      </w:r>
      <w:r>
        <w:rPr>
          <w:rFonts w:hint="eastAsia" w:ascii="仿宋" w:hAnsi="仿宋" w:eastAsia="仿宋"/>
          <w:b w:val="0"/>
          <w:bCs/>
          <w:color w:val="auto"/>
          <w:highlight w:val="none"/>
        </w:rPr>
        <w:t>强、运行规范的新型经营主体，成为产业园发展的主导力量。</w:t>
      </w:r>
      <w:r>
        <w:rPr>
          <w:rFonts w:hint="eastAsia"/>
          <w:color w:val="auto"/>
        </w:rPr>
        <w:t>肉鸡产业领域现有德大、德翔牧业、吉星、德翔食品4个</w:t>
      </w:r>
      <w:r>
        <w:rPr>
          <w:rFonts w:hint="eastAsia"/>
          <w:color w:val="auto"/>
          <w:lang w:val="en-US" w:eastAsia="zh-CN"/>
        </w:rPr>
        <w:t>肉鸡领域</w:t>
      </w:r>
      <w:r>
        <w:rPr>
          <w:rFonts w:hint="eastAsia"/>
          <w:color w:val="auto"/>
        </w:rPr>
        <w:t>国家级龙头企业，有禾丰1个上市公司，有</w:t>
      </w:r>
      <w:r>
        <w:rPr>
          <w:rFonts w:hint="eastAsia"/>
          <w:color w:val="auto"/>
          <w:lang w:val="en-US" w:eastAsia="zh-CN"/>
        </w:rPr>
        <w:t>9</w:t>
      </w:r>
      <w:r>
        <w:rPr>
          <w:rFonts w:hint="eastAsia"/>
          <w:color w:val="auto"/>
        </w:rPr>
        <w:t>个</w:t>
      </w:r>
      <w:r>
        <w:rPr>
          <w:rFonts w:hint="eastAsia"/>
          <w:color w:val="auto"/>
          <w:lang w:val="en-US" w:eastAsia="zh-CN"/>
        </w:rPr>
        <w:t>肉鸡产业相关</w:t>
      </w:r>
      <w:r>
        <w:rPr>
          <w:rFonts w:hint="eastAsia"/>
          <w:color w:val="auto"/>
        </w:rPr>
        <w:t>省级龙头企业</w:t>
      </w:r>
      <w:r>
        <w:rPr>
          <w:rFonts w:hint="eastAsia"/>
          <w:color w:val="auto"/>
          <w:lang w:eastAsia="zh-CN"/>
        </w:rPr>
        <w:t>（</w:t>
      </w:r>
      <w:r>
        <w:rPr>
          <w:rFonts w:hint="eastAsia"/>
          <w:color w:val="auto"/>
          <w:lang w:val="en-US" w:eastAsia="zh-CN"/>
        </w:rPr>
        <w:t>耘垦牧业、德生牧业、春升牧业、凤宇牧业、双丰牧业、新希望饲料、阔源食品、禾丰食品、永旭牧业</w:t>
      </w:r>
      <w:r>
        <w:rPr>
          <w:rFonts w:hint="eastAsia"/>
          <w:color w:val="auto"/>
          <w:lang w:eastAsia="zh-CN"/>
        </w:rPr>
        <w:t>）</w:t>
      </w:r>
      <w:r>
        <w:rPr>
          <w:rFonts w:hint="eastAsia"/>
          <w:color w:val="auto"/>
        </w:rPr>
        <w:t>、12个长春市级龙头企业、</w:t>
      </w:r>
      <w:r>
        <w:rPr>
          <w:rFonts w:hint="eastAsia"/>
          <w:color w:val="auto"/>
          <w:lang w:val="en-US" w:eastAsia="zh-CN"/>
        </w:rPr>
        <w:t>321</w:t>
      </w:r>
      <w:r>
        <w:rPr>
          <w:rFonts w:hint="eastAsia"/>
          <w:color w:val="auto"/>
        </w:rPr>
        <w:t>家肉鸡合作社、家庭农场等新型经营主体，形成了外资企业、外省企业、本地企业群龙竞舞的良好局面，辐射带动榆树、九台、农安、扶余、舒兰等周边县市区肉鸡</w:t>
      </w:r>
      <w:r>
        <w:rPr>
          <w:rFonts w:hint="eastAsia"/>
          <w:color w:val="auto"/>
          <w:lang w:val="en-US" w:eastAsia="zh-CN"/>
        </w:rPr>
        <w:t>产业高质量发展</w:t>
      </w:r>
      <w:r>
        <w:rPr>
          <w:rFonts w:hint="eastAsia"/>
          <w:color w:val="auto"/>
        </w:rPr>
        <w:t>。</w:t>
      </w:r>
    </w:p>
    <w:p>
      <w:pPr>
        <w:pStyle w:val="4"/>
        <w:pageBreakBefore w:val="0"/>
        <w:widowControl w:val="0"/>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19" w:name="_Toc17864"/>
      <w:r>
        <w:rPr>
          <w:rFonts w:hint="eastAsia" w:cs="Times New Roman"/>
          <w:b w:val="0"/>
          <w:bCs w:val="0"/>
          <w:color w:val="auto"/>
          <w:kern w:val="44"/>
          <w:sz w:val="32"/>
          <w:szCs w:val="32"/>
          <w:lang w:val="en-US" w:eastAsia="zh-CN"/>
        </w:rPr>
        <w:t>二、</w:t>
      </w:r>
      <w:r>
        <w:rPr>
          <w:rFonts w:hint="eastAsia" w:ascii="Times New Roman" w:hAnsi="Times New Roman" w:cs="Times New Roman"/>
          <w:b w:val="0"/>
          <w:bCs w:val="0"/>
          <w:color w:val="auto"/>
          <w:kern w:val="44"/>
          <w:sz w:val="32"/>
          <w:szCs w:val="32"/>
          <w:lang w:val="en-US" w:eastAsia="zh-CN"/>
        </w:rPr>
        <w:t>中央财政奖补资金使用原则</w:t>
      </w:r>
      <w:bookmarkEnd w:id="19"/>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专款专用原则。</w:t>
      </w:r>
      <w:r>
        <w:rPr>
          <w:rFonts w:hint="eastAsia" w:ascii="仿宋" w:hAnsi="仿宋" w:eastAsia="仿宋"/>
          <w:color w:val="auto"/>
          <w:sz w:val="32"/>
          <w:szCs w:val="32"/>
          <w:highlight w:val="none"/>
        </w:rPr>
        <w:t>财政资金必须按规定用于经批准的项目，任何单位和个人不得截留、挤占和挪用。应当按规定用途使用专项资金，未经批准，不得变更项目内容或者调整预算。确需变更项目内容或者调整预算的，应当按项目和资金管理权限逐级上报原审批部门，经批准后方可变更。</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整合使用原则。</w:t>
      </w:r>
      <w:r>
        <w:rPr>
          <w:rFonts w:hint="eastAsia" w:ascii="仿宋" w:hAnsi="仿宋" w:eastAsia="仿宋" w:cs="仿宋"/>
          <w:color w:val="auto"/>
          <w:sz w:val="32"/>
          <w:szCs w:val="32"/>
        </w:rPr>
        <w:t>在不改变资金性质、用途的前提下，以政府为主导，以规划为引导，以产业为平台，以统筹为核心，建立财政专项资金统筹安排、集中投入、规范管理的涉农项目整合办公室为主的新的运行机制。以优化配置财政资源，放大财政资金效应，提高财政资金整体效益。</w:t>
      </w:r>
    </w:p>
    <w:p>
      <w:pPr>
        <w:keepNext w:val="0"/>
        <w:keepLines w:val="0"/>
        <w:pageBreakBefore w:val="0"/>
        <w:widowControl w:val="0"/>
        <w:kinsoku/>
        <w:wordWrap/>
        <w:overflowPunct/>
        <w:topLinePunct w:val="0"/>
        <w:autoSpaceDE/>
        <w:autoSpaceDN/>
        <w:bidi w:val="0"/>
        <w:snapToGrid/>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集中支付原则。</w:t>
      </w:r>
      <w:r>
        <w:rPr>
          <w:rFonts w:hint="eastAsia" w:ascii="仿宋" w:hAnsi="仿宋" w:eastAsia="仿宋" w:cs="仿宋"/>
          <w:color w:val="auto"/>
          <w:sz w:val="32"/>
          <w:szCs w:val="32"/>
        </w:rPr>
        <w:t>所有专项资金（除国家政策有特别规定的从特别规定外）拨付一般都应纳入国库集中支付管理。资金拨付除项目管理费、前期费等资金可拨付到项目管理部门外，其</w:t>
      </w:r>
      <w:r>
        <w:rPr>
          <w:rFonts w:hint="eastAsia" w:ascii="仿宋" w:hAnsi="仿宋" w:cs="仿宋"/>
          <w:color w:val="auto"/>
          <w:sz w:val="32"/>
          <w:szCs w:val="32"/>
          <w:lang w:val="en-US" w:eastAsia="zh-CN"/>
        </w:rPr>
        <w:t>他</w:t>
      </w:r>
      <w:r>
        <w:rPr>
          <w:rFonts w:hint="eastAsia" w:ascii="仿宋" w:hAnsi="仿宋" w:eastAsia="仿宋" w:cs="仿宋"/>
          <w:color w:val="auto"/>
          <w:sz w:val="32"/>
          <w:szCs w:val="32"/>
        </w:rPr>
        <w:t>用于工程、货物、服务类等资金支出由财政部门直接拨付到承包商、供应商和劳务提供者。</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公益性原则。</w:t>
      </w:r>
      <w:r>
        <w:rPr>
          <w:rFonts w:hint="eastAsia" w:ascii="仿宋" w:hAnsi="仿宋" w:eastAsia="仿宋"/>
          <w:color w:val="auto"/>
          <w:sz w:val="32"/>
          <w:szCs w:val="32"/>
          <w:highlight w:val="none"/>
        </w:rPr>
        <w:t>坚持维护社会公共利益，将财政资金应用于有利于</w:t>
      </w:r>
      <w:r>
        <w:rPr>
          <w:rFonts w:hint="eastAsia" w:ascii="仿宋" w:hAnsi="仿宋"/>
          <w:color w:val="auto"/>
          <w:sz w:val="32"/>
          <w:szCs w:val="32"/>
          <w:highlight w:val="none"/>
          <w:lang w:val="en-US" w:eastAsia="zh-CN"/>
        </w:rPr>
        <w:t>农牧业</w:t>
      </w:r>
      <w:r>
        <w:rPr>
          <w:rFonts w:hint="eastAsia" w:ascii="仿宋" w:hAnsi="仿宋" w:eastAsia="仿宋"/>
          <w:color w:val="auto"/>
          <w:sz w:val="32"/>
          <w:szCs w:val="32"/>
          <w:highlight w:val="none"/>
        </w:rPr>
        <w:t>高质量创新发展的项目建设、增强农村经济发展潜力的项目建设，使大多数农民受益，推动乡村全面振兴。</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仿宋" w:hAnsi="仿宋" w:eastAsia="仿宋"/>
          <w:color w:val="auto"/>
          <w:sz w:val="32"/>
          <w:szCs w:val="32"/>
          <w:highlight w:val="none"/>
        </w:rPr>
      </w:pPr>
      <w:r>
        <w:rPr>
          <w:rFonts w:hint="eastAsia" w:ascii="仿宋" w:hAnsi="仿宋" w:eastAsia="仿宋"/>
          <w:b/>
          <w:color w:val="auto"/>
          <w:sz w:val="32"/>
          <w:szCs w:val="32"/>
          <w:highlight w:val="none"/>
        </w:rPr>
        <w:t>公开透明原则。</w:t>
      </w:r>
      <w:r>
        <w:rPr>
          <w:rFonts w:hint="eastAsia" w:ascii="仿宋" w:hAnsi="仿宋" w:eastAsia="仿宋"/>
          <w:color w:val="auto"/>
          <w:sz w:val="32"/>
          <w:szCs w:val="32"/>
          <w:highlight w:val="none"/>
        </w:rPr>
        <w:t>财政资金投资的工程项目，必须</w:t>
      </w:r>
      <w:r>
        <w:rPr>
          <w:rFonts w:hint="eastAsia" w:ascii="仿宋" w:hAnsi="仿宋"/>
          <w:color w:val="auto"/>
          <w:sz w:val="32"/>
          <w:szCs w:val="32"/>
          <w:highlight w:val="none"/>
          <w:lang w:val="en-US" w:eastAsia="zh-CN"/>
        </w:rPr>
        <w:t>在政府网站进行公示</w:t>
      </w:r>
      <w:r>
        <w:rPr>
          <w:rFonts w:hint="eastAsia" w:ascii="仿宋" w:hAnsi="仿宋" w:eastAsia="仿宋"/>
          <w:color w:val="auto"/>
          <w:sz w:val="32"/>
          <w:szCs w:val="32"/>
          <w:highlight w:val="none"/>
        </w:rPr>
        <w:t>。市农业主管部门应当组织核实资金支持对象的资格、条件，督促检查项目任务完成情况，为财政部门按规定标准分配、审核拨付资金提供依据。</w:t>
      </w:r>
    </w:p>
    <w:p>
      <w:pPr>
        <w:pStyle w:val="4"/>
        <w:pageBreakBefore w:val="0"/>
        <w:widowControl w:val="0"/>
        <w:numPr>
          <w:ilvl w:val="0"/>
          <w:numId w:val="1"/>
        </w:numPr>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20" w:name="_Toc31194"/>
      <w:r>
        <w:rPr>
          <w:rFonts w:hint="eastAsia" w:ascii="Times New Roman" w:hAnsi="Times New Roman" w:cs="Times New Roman"/>
          <w:b w:val="0"/>
          <w:bCs w:val="0"/>
          <w:color w:val="auto"/>
          <w:kern w:val="44"/>
          <w:sz w:val="32"/>
          <w:szCs w:val="32"/>
          <w:lang w:val="en-US" w:eastAsia="zh-CN"/>
        </w:rPr>
        <w:t>中央财政奖补资金支持内容</w:t>
      </w:r>
      <w:bookmarkEnd w:id="20"/>
    </w:p>
    <w:p>
      <w:pPr>
        <w:snapToGrid w:val="0"/>
        <w:spacing w:line="360" w:lineRule="auto"/>
        <w:ind w:firstLine="640" w:firstLineChars="200"/>
        <w:rPr>
          <w:rFonts w:hint="default" w:ascii="Times New Roman" w:hAnsi="Times New Roman" w:eastAsia="仿宋" w:cs="Times New Roman"/>
          <w:color w:val="auto"/>
          <w:sz w:val="32"/>
          <w:szCs w:val="48"/>
          <w:highlight w:val="none"/>
        </w:rPr>
      </w:pPr>
      <w:r>
        <w:rPr>
          <w:rFonts w:hint="default" w:ascii="Times New Roman" w:hAnsi="Times New Roman" w:eastAsia="仿宋" w:cs="Times New Roman"/>
          <w:color w:val="auto"/>
          <w:kern w:val="44"/>
          <w:sz w:val="32"/>
          <w:szCs w:val="32"/>
          <w:highlight w:val="none"/>
        </w:rPr>
        <w:t>20</w:t>
      </w:r>
      <w:r>
        <w:rPr>
          <w:rFonts w:hint="default" w:ascii="Times New Roman" w:hAnsi="Times New Roman" w:cs="Times New Roman"/>
          <w:color w:val="auto"/>
          <w:kern w:val="44"/>
          <w:sz w:val="32"/>
          <w:szCs w:val="32"/>
          <w:highlight w:val="none"/>
          <w:lang w:val="en-US" w:eastAsia="zh-CN"/>
        </w:rPr>
        <w:t>24-2026</w:t>
      </w:r>
      <w:r>
        <w:rPr>
          <w:rFonts w:hint="default" w:ascii="Times New Roman" w:hAnsi="Times New Roman" w:eastAsia="仿宋" w:cs="Times New Roman"/>
          <w:color w:val="auto"/>
          <w:kern w:val="44"/>
          <w:sz w:val="32"/>
          <w:szCs w:val="32"/>
          <w:highlight w:val="none"/>
        </w:rPr>
        <w:t>年，中央财政资金</w:t>
      </w:r>
      <w:r>
        <w:rPr>
          <w:rFonts w:hint="eastAsia" w:cs="Times New Roman"/>
          <w:color w:val="auto"/>
          <w:kern w:val="44"/>
          <w:sz w:val="32"/>
          <w:szCs w:val="32"/>
          <w:highlight w:val="none"/>
          <w:lang w:val="en-US" w:eastAsia="zh-CN"/>
        </w:rPr>
        <w:t>7000万</w:t>
      </w:r>
      <w:r>
        <w:rPr>
          <w:rFonts w:hint="default" w:ascii="Times New Roman" w:hAnsi="Times New Roman" w:eastAsia="仿宋" w:cs="Times New Roman"/>
          <w:color w:val="auto"/>
          <w:kern w:val="44"/>
          <w:sz w:val="32"/>
          <w:szCs w:val="32"/>
          <w:highlight w:val="none"/>
        </w:rPr>
        <w:t>元拟投入产业链供应链完善提升工程、科技创新平台建设工程、</w:t>
      </w:r>
      <w:r>
        <w:rPr>
          <w:rFonts w:hint="eastAsia" w:cs="Times New Roman"/>
          <w:color w:val="auto"/>
          <w:kern w:val="44"/>
          <w:sz w:val="32"/>
          <w:szCs w:val="32"/>
          <w:highlight w:val="none"/>
          <w:lang w:val="en-US" w:eastAsia="zh-CN"/>
        </w:rPr>
        <w:t>联农带农增收工程</w:t>
      </w:r>
      <w:r>
        <w:rPr>
          <w:rFonts w:hint="default" w:ascii="Times New Roman" w:hAnsi="Times New Roman" w:cs="Times New Roman"/>
          <w:color w:val="auto"/>
          <w:kern w:val="44"/>
          <w:sz w:val="32"/>
          <w:szCs w:val="32"/>
          <w:highlight w:val="none"/>
          <w:lang w:val="en-US" w:eastAsia="zh-CN"/>
        </w:rPr>
        <w:t>等</w:t>
      </w:r>
      <w:r>
        <w:rPr>
          <w:rFonts w:hint="eastAsia" w:cs="Times New Roman"/>
          <w:color w:val="auto"/>
          <w:kern w:val="44"/>
          <w:sz w:val="32"/>
          <w:szCs w:val="32"/>
          <w:highlight w:val="none"/>
          <w:lang w:val="en-US" w:eastAsia="zh-CN"/>
        </w:rPr>
        <w:t>三</w:t>
      </w:r>
      <w:r>
        <w:rPr>
          <w:rFonts w:hint="default" w:ascii="Times New Roman" w:hAnsi="Times New Roman" w:eastAsia="仿宋" w:cs="Times New Roman"/>
          <w:color w:val="auto"/>
          <w:kern w:val="44"/>
          <w:sz w:val="32"/>
          <w:szCs w:val="32"/>
          <w:highlight w:val="none"/>
        </w:rPr>
        <w:t>大工程</w:t>
      </w:r>
      <w:r>
        <w:rPr>
          <w:rFonts w:hint="eastAsia" w:cs="Times New Roman"/>
          <w:color w:val="auto"/>
          <w:kern w:val="44"/>
          <w:sz w:val="32"/>
          <w:szCs w:val="32"/>
          <w:highlight w:val="none"/>
          <w:lang w:val="en-US" w:eastAsia="zh-CN"/>
        </w:rPr>
        <w:t>7</w:t>
      </w:r>
      <w:r>
        <w:rPr>
          <w:rFonts w:hint="default" w:ascii="Times New Roman" w:hAnsi="Times New Roman" w:eastAsia="仿宋" w:cs="Times New Roman"/>
          <w:color w:val="auto"/>
          <w:kern w:val="44"/>
          <w:sz w:val="32"/>
          <w:szCs w:val="32"/>
          <w:highlight w:val="none"/>
        </w:rPr>
        <w:t>个项目</w:t>
      </w:r>
      <w:r>
        <w:rPr>
          <w:rFonts w:hint="default" w:ascii="Times New Roman" w:hAnsi="Times New Roman" w:eastAsia="仿宋" w:cs="Times New Roman"/>
          <w:color w:val="auto"/>
          <w:sz w:val="32"/>
          <w:szCs w:val="48"/>
          <w:highlight w:val="none"/>
        </w:rPr>
        <w:t>。</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21" w:name="_Toc21063"/>
      <w:bookmarkStart w:id="22" w:name="_Toc32756"/>
      <w:r>
        <w:rPr>
          <w:rFonts w:hint="eastAsia" w:ascii="Times New Roman" w:hAnsi="Times New Roman" w:eastAsia="楷体" w:cs="Times New Roman"/>
          <w:bCs/>
          <w:color w:val="auto"/>
          <w:lang w:val="en-US" w:eastAsia="zh-CN"/>
        </w:rPr>
        <w:t>（一）</w:t>
      </w:r>
      <w:bookmarkEnd w:id="21"/>
      <w:r>
        <w:rPr>
          <w:rFonts w:hint="eastAsia" w:ascii="Times New Roman" w:hAnsi="Times New Roman" w:eastAsia="楷体" w:cs="Times New Roman"/>
          <w:bCs/>
          <w:color w:val="auto"/>
          <w:lang w:val="en-US" w:eastAsia="zh-CN"/>
        </w:rPr>
        <w:t>产业链供应链完善提升工程</w:t>
      </w:r>
      <w:bookmarkEnd w:id="22"/>
    </w:p>
    <w:p>
      <w:pPr>
        <w:pStyle w:val="6"/>
        <w:pageBreakBefore w:val="0"/>
        <w:kinsoku/>
        <w:wordWrap/>
        <w:overflowPunct/>
        <w:topLinePunct w:val="0"/>
        <w:bidi w:val="0"/>
        <w:snapToGrid w:val="0"/>
        <w:spacing w:after="0" w:afterLines="-2147483648" w:line="360" w:lineRule="auto"/>
        <w:ind w:firstLine="643"/>
        <w:rPr>
          <w:rFonts w:hint="default"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1.德惠市肉鸡现代化孵化平台建设项目</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内容：项目占地面积约40000平方米，总建筑面积7000平方米，孵化中心内设种蛋库、孵化间、出雏间、检疫间、冲洗消毒间等功能单元，年可孵化鸡雏1.5亿只，打造现代化肉鸡孵化平台，为入园企业提供鸡雏孵化公共服务。吉林省万禾养殖有限公司负责孵化中心基础设施建设，德惠市国有资本投资运营（集团）有限公司使用中央财政奖补资金拟投入智能化孵化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支持金额：拟使用中央财政资金800万元，均为2024年投入。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建设主体：吉林省万禾养殖有限公司、德惠市国有资本投资运营（集团）有限公司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建设地点：夏家店街道</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建设年限：2024年</w:t>
      </w:r>
    </w:p>
    <w:p>
      <w:pPr>
        <w:pStyle w:val="6"/>
        <w:pageBreakBefore w:val="0"/>
        <w:numPr>
          <w:ilvl w:val="0"/>
          <w:numId w:val="0"/>
        </w:numPr>
        <w:kinsoku/>
        <w:wordWrap/>
        <w:overflowPunct/>
        <w:topLinePunct w:val="0"/>
        <w:bidi w:val="0"/>
        <w:snapToGrid w:val="0"/>
        <w:spacing w:after="0" w:afterLines="-2147483648" w:line="360" w:lineRule="auto"/>
        <w:ind w:firstLine="643" w:firstLineChars="200"/>
        <w:rPr>
          <w:rFonts w:hint="eastAsia"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2.德惠市现代农业产业园农副产品冷库平台建设项目</w:t>
      </w:r>
    </w:p>
    <w:p>
      <w:pPr>
        <w:numPr>
          <w:ilvl w:val="0"/>
          <w:numId w:val="0"/>
        </w:numPr>
        <w:ind w:firstLine="640" w:firstLineChars="200"/>
        <w:rPr>
          <w:rFonts w:hint="eastAsia"/>
          <w:lang w:val="en-US" w:eastAsia="zh-CN"/>
        </w:rPr>
      </w:pPr>
      <w:r>
        <w:rPr>
          <w:rFonts w:hint="eastAsia"/>
          <w:lang w:val="en-US" w:eastAsia="zh-CN"/>
        </w:rPr>
        <w:t>建设内容：新建农副产品冷库1400平方米，储藏能力2600吨，为园区内企业提供农产品速冻、冷冻、贮藏等公共服务。吉林阔源食品厂负责冷库的基础设施建设，德惠市国有资本投资运营（集团）有限公司使用中央财政奖补资金拟投入冷库内的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lang w:val="en-US" w:eastAsia="zh-CN"/>
        </w:rPr>
        <w:t>支持金额：</w:t>
      </w:r>
      <w:r>
        <w:rPr>
          <w:rFonts w:hint="eastAsia"/>
          <w:color w:val="auto"/>
          <w:lang w:val="en-US" w:eastAsia="zh-CN"/>
        </w:rPr>
        <w:t>拟使用中央财政资金900万元，均为2026年投入。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建设主体：吉林阔源食品厂、德惠市国有资本投资运营（集团）有限公司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建设地点：夏家店街道</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建设年限：2026年</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23" w:name="_Toc28833"/>
      <w:bookmarkStart w:id="24" w:name="_Toc25244"/>
      <w:r>
        <w:rPr>
          <w:rFonts w:hint="eastAsia" w:ascii="Times New Roman" w:hAnsi="Times New Roman" w:eastAsia="楷体" w:cs="Times New Roman"/>
          <w:bCs/>
          <w:color w:val="auto"/>
          <w:lang w:val="en-US" w:eastAsia="zh-CN"/>
        </w:rPr>
        <w:t>（</w:t>
      </w:r>
      <w:r>
        <w:rPr>
          <w:rFonts w:hint="eastAsia" w:eastAsia="楷体" w:cs="Times New Roman"/>
          <w:bCs/>
          <w:color w:val="auto"/>
          <w:lang w:val="en-US" w:eastAsia="zh-CN"/>
        </w:rPr>
        <w:t>二</w:t>
      </w:r>
      <w:r>
        <w:rPr>
          <w:rFonts w:hint="eastAsia" w:ascii="Times New Roman" w:hAnsi="Times New Roman" w:eastAsia="楷体" w:cs="Times New Roman"/>
          <w:bCs/>
          <w:color w:val="auto"/>
          <w:lang w:val="en-US" w:eastAsia="zh-CN"/>
        </w:rPr>
        <w:t>）科技创新平台建设工程</w:t>
      </w:r>
      <w:bookmarkEnd w:id="23"/>
      <w:bookmarkEnd w:id="24"/>
    </w:p>
    <w:p>
      <w:pPr>
        <w:pStyle w:val="6"/>
        <w:pageBreakBefore w:val="0"/>
        <w:kinsoku/>
        <w:wordWrap/>
        <w:overflowPunct/>
        <w:topLinePunct w:val="0"/>
        <w:bidi w:val="0"/>
        <w:snapToGrid w:val="0"/>
        <w:spacing w:after="0" w:afterLines="-2147483648" w:line="360" w:lineRule="auto"/>
        <w:ind w:firstLine="643"/>
        <w:rPr>
          <w:rFonts w:hint="default"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1.德惠市边岗乡肉鸡良种繁育基地建设项目</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内容：项目占地面积87013平方米，总建筑面积28133平方米，包括鸡舍13栋，配套科研房等设施。项目的建设将提高园内养殖户、企业种鸡育成质量，减少种鸡繁育、孵化环节造成的损失，带动农户增收、产业提质发展。吉林德翔牧业有限公司负责基地的基础设施建设，德惠市国有资本投资运营（集团）有限公司使用中央财政奖补资金拟投入孵化使用的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支持金额：拟使用中央财政资金900万元，为2024年投入。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建设主体：吉林德翔牧业有限公司、德惠市国有资本投资运营（集团）有限公司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建设地点：边岗乡</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建设年限：2024年</w:t>
      </w:r>
    </w:p>
    <w:p>
      <w:pPr>
        <w:pStyle w:val="6"/>
        <w:pageBreakBefore w:val="0"/>
        <w:kinsoku/>
        <w:wordWrap/>
        <w:overflowPunct/>
        <w:topLinePunct w:val="0"/>
        <w:bidi w:val="0"/>
        <w:snapToGrid w:val="0"/>
        <w:spacing w:after="0" w:afterLines="-2147483648" w:line="360" w:lineRule="auto"/>
        <w:ind w:firstLine="643"/>
        <w:rPr>
          <w:rFonts w:hint="default"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2.国家肉鸡产业技术体系北方实验站实验基地建设项目</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内容：项目占地面积87337平方米，总建筑面积33893平方米，包括鸡舍18栋，进行国产新品种性能试验、无抗养殖试验等，在园区内全面推广无抗肉鸡养殖技术，提高园区科技研发水平，带动主导产业发展。吉林德翔牧业有限公司负责实验基地的基础设施建设，德惠市国有资本投资运营（集团）有限公司使用中央财政奖补资金拟投入基地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支持金额：拟使用中央财政资金1300万元，为2024年投入。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建设主体：吉林德翔牧业有限公司、德惠市国有资本投资运营（集团）有限公司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建设地点：边岗乡</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建设年限：2024年</w:t>
      </w:r>
    </w:p>
    <w:p>
      <w:pPr>
        <w:pStyle w:val="6"/>
        <w:pageBreakBefore w:val="0"/>
        <w:kinsoku/>
        <w:wordWrap/>
        <w:overflowPunct/>
        <w:topLinePunct w:val="0"/>
        <w:bidi w:val="0"/>
        <w:snapToGrid w:val="0"/>
        <w:spacing w:after="0" w:afterLines="-2147483648" w:line="360" w:lineRule="auto"/>
        <w:ind w:firstLine="643"/>
        <w:rPr>
          <w:rFonts w:hint="eastAsia"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3.鸡肉预制菜及休闲食品中试开发平台建设项目</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内容：建设鸡肉预制菜及休闲食品中试生产平台1座，建筑面积6480平方米，购置不同类型产品中试生产线，满足油炸类、调理类、蒸煮类鸡肉深加工产品开发及中试生产需要，与吉林大学食品学院合作开发深加工产品，带动提升产业园鸡肉产品精深加工能力，补齐鸡肉加工产业短板，实现产业链条向后延伸，附加值进一步提高，产业对地方财政税收贡献增大，吸纳就业增多等多重目标。吉林德翔牧业有限公司负责生产平台的基础设施建设，德惠市国有资本投资运营（集团）有限公司使用中央财政奖补资金拟投入平台使用的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支持金额：拟使用中央财政资金1650万元，均为2026年投入。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建设主体：吉林德翔食品有限公司、德惠市国有资本投资运营（集团）有限公司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建设地点：布海镇</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建设年限：2025-2026年</w:t>
      </w:r>
    </w:p>
    <w:p>
      <w:pPr>
        <w:pStyle w:val="6"/>
        <w:pageBreakBefore w:val="0"/>
        <w:kinsoku/>
        <w:wordWrap/>
        <w:overflowPunct/>
        <w:topLinePunct w:val="0"/>
        <w:bidi w:val="0"/>
        <w:snapToGrid w:val="0"/>
        <w:spacing w:after="0" w:afterLines="-2147483648" w:line="360" w:lineRule="auto"/>
        <w:ind w:firstLine="643"/>
        <w:rPr>
          <w:rFonts w:hint="default"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4.德惠市国家现代农业产业园肉鸡产业公共检测中心建设项目</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内容：项目使用办公场地960平方米，打造园区公共检测平台。计划购置液相色谱、理化分析仪器等相关检测设备，为入园企业提供药残农残检测、微生物检验、饲料检验、原粮化验、食品安全检测、肉鸡病理毒理检测等相关指标检测，在产业园内形成综合性肉鸡产业公共检测中心，为入园企业乃至全省肉鸡相关企业提供服务。吉林德翔牧业有限公司负责检测中心的基础设施建设，德惠市国有资本投资运营（集团）有限公司使用中央财政奖补资金拟投入检测中心使用的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支持金额：拟使用中央财政资金750万元，均为2026年投入。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建设主体：吉林德翔食品有限公司、德惠市国有资本投资运营（集团）有限公司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建设地点：布海镇</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建设年限：2026年</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25" w:name="_Toc6107"/>
      <w:r>
        <w:rPr>
          <w:rFonts w:hint="eastAsia" w:ascii="Times New Roman" w:hAnsi="Times New Roman" w:eastAsia="楷体" w:cs="Times New Roman"/>
          <w:bCs/>
          <w:color w:val="auto"/>
          <w:lang w:val="en-US" w:eastAsia="zh-CN"/>
        </w:rPr>
        <w:t>（</w:t>
      </w:r>
      <w:r>
        <w:rPr>
          <w:rFonts w:hint="eastAsia" w:eastAsia="楷体" w:cs="Times New Roman"/>
          <w:bCs/>
          <w:color w:val="auto"/>
          <w:lang w:val="en-US" w:eastAsia="zh-CN"/>
        </w:rPr>
        <w:t>三</w:t>
      </w:r>
      <w:r>
        <w:rPr>
          <w:rFonts w:hint="eastAsia" w:ascii="Times New Roman" w:hAnsi="Times New Roman" w:eastAsia="楷体" w:cs="Times New Roman"/>
          <w:bCs/>
          <w:color w:val="auto"/>
          <w:lang w:val="en-US" w:eastAsia="zh-CN"/>
        </w:rPr>
        <w:t>）</w:t>
      </w:r>
      <w:r>
        <w:rPr>
          <w:rFonts w:hint="eastAsia" w:eastAsia="楷体" w:cs="Times New Roman"/>
          <w:bCs/>
          <w:color w:val="auto"/>
          <w:lang w:val="en-US" w:eastAsia="zh-CN"/>
        </w:rPr>
        <w:t>联农带农增收</w:t>
      </w:r>
      <w:r>
        <w:rPr>
          <w:rFonts w:hint="eastAsia" w:ascii="Times New Roman" w:hAnsi="Times New Roman" w:eastAsia="楷体" w:cs="Times New Roman"/>
          <w:bCs/>
          <w:color w:val="auto"/>
          <w:lang w:val="en-US" w:eastAsia="zh-CN"/>
        </w:rPr>
        <w:t>工程</w:t>
      </w:r>
      <w:bookmarkEnd w:id="25"/>
    </w:p>
    <w:p>
      <w:pPr>
        <w:pStyle w:val="6"/>
        <w:pageBreakBefore w:val="0"/>
        <w:kinsoku/>
        <w:wordWrap/>
        <w:overflowPunct/>
        <w:topLinePunct w:val="0"/>
        <w:bidi w:val="0"/>
        <w:snapToGrid w:val="0"/>
        <w:spacing w:after="0" w:afterLines="-2147483648" w:line="360" w:lineRule="auto"/>
        <w:ind w:firstLine="643"/>
        <w:rPr>
          <w:rFonts w:hint="default" w:ascii="Times New Roman Regular" w:hAnsi="Times New Roman Regular" w:eastAsia="楷体" w:cs="Times New Roman Regular"/>
          <w:b/>
          <w:bCs w:val="0"/>
          <w:color w:val="auto"/>
          <w:highlight w:val="none"/>
          <w:lang w:val="en-US" w:eastAsia="zh-CN"/>
        </w:rPr>
      </w:pPr>
      <w:r>
        <w:rPr>
          <w:rFonts w:hint="eastAsia" w:ascii="Times New Roman Regular" w:hAnsi="Times New Roman Regular" w:eastAsia="楷体" w:cs="Times New Roman Regular"/>
          <w:b/>
          <w:bCs w:val="0"/>
          <w:color w:val="auto"/>
          <w:highlight w:val="none"/>
          <w:lang w:val="en-US" w:eastAsia="zh-CN"/>
        </w:rPr>
        <w:t>1.吉林省肉鸡产业双创孵化中心建设项目</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建设内容：项目使用办公场地4704平方米，建设肉鸡产业双创孵化中心，打造成果转化及产品展示中心、培训交流中心、创业孵化区、洽谈区及多媒体报告厅。为入园企业提供科技研发、技术交流等公共服务，鼓励引导入园企业、农民合作社创业创新，发展多种形式的适度规模经营，将园区打造成为新型经营主体“双创”孵化区。吉林德翔牧业有限公司负责孵化中心的基础设施建设，德惠市国有资本投资运营（集团）有限公司使用中央财政奖补资金拟投入孵化中心使用的设施设备。</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支持金额：拟使用中央财政资金700万元，为2026年投入。</w:t>
      </w:r>
    </w:p>
    <w:p>
      <w:pPr>
        <w:pageBreakBefore w:val="0"/>
        <w:numPr>
          <w:ilvl w:val="0"/>
          <w:numId w:val="0"/>
        </w:numPr>
        <w:kinsoku/>
        <w:wordWrap/>
        <w:overflowPunct/>
        <w:topLinePunct w:val="0"/>
        <w:bidi w:val="0"/>
        <w:snapToGrid w:val="0"/>
        <w:spacing w:line="360" w:lineRule="auto"/>
        <w:ind w:firstLine="640" w:firstLineChars="200"/>
        <w:rPr>
          <w:rFonts w:hint="default"/>
          <w:color w:val="auto"/>
          <w:lang w:val="en-US" w:eastAsia="zh-CN"/>
        </w:rPr>
      </w:pPr>
      <w:r>
        <w:rPr>
          <w:rFonts w:hint="eastAsia"/>
          <w:color w:val="auto"/>
          <w:lang w:val="en-US" w:eastAsia="zh-CN"/>
        </w:rPr>
        <w:t>支持方式：直接投入</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建设主体：吉林德翔牧业有限公司、德惠市国有资本投资运营（集团）有限公司</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建设地点：惠发街道</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r>
        <w:rPr>
          <w:rFonts w:hint="eastAsia"/>
          <w:color w:val="auto"/>
          <w:lang w:val="en-US" w:eastAsia="zh-CN"/>
        </w:rPr>
        <w:t>建设年限：2026年</w:t>
      </w:r>
    </w:p>
    <w:p>
      <w:pPr>
        <w:pStyle w:val="4"/>
        <w:pageBreakBefore w:val="0"/>
        <w:widowControl w:val="0"/>
        <w:numPr>
          <w:ilvl w:val="0"/>
          <w:numId w:val="1"/>
        </w:numPr>
        <w:kinsoku/>
        <w:wordWrap/>
        <w:overflowPunct/>
        <w:topLinePunct w:val="0"/>
        <w:autoSpaceDE/>
        <w:autoSpaceDN/>
        <w:bidi w:val="0"/>
        <w:adjustRightInd w:val="0"/>
        <w:snapToGrid w:val="0"/>
        <w:spacing w:before="0" w:beforeLines="0" w:after="0" w:line="360" w:lineRule="auto"/>
        <w:ind w:left="0" w:leftChars="0"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26" w:name="_Toc28639"/>
      <w:r>
        <w:rPr>
          <w:rFonts w:hint="eastAsia" w:ascii="Times New Roman" w:hAnsi="Times New Roman" w:cs="Times New Roman"/>
          <w:b w:val="0"/>
          <w:bCs w:val="0"/>
          <w:color w:val="auto"/>
          <w:kern w:val="44"/>
          <w:sz w:val="32"/>
          <w:szCs w:val="32"/>
          <w:lang w:val="en-US" w:eastAsia="zh-CN"/>
        </w:rPr>
        <w:t>中央财政奖补资金年度投资计划</w:t>
      </w:r>
      <w:bookmarkEnd w:id="26"/>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pPr>
      <w:bookmarkStart w:id="50" w:name="_GoBack"/>
      <w:bookmarkEnd w:id="50"/>
      <w:r>
        <w:rPr>
          <w:rFonts w:hint="eastAsia"/>
          <w:color w:val="auto"/>
          <w:lang w:val="en-US" w:eastAsia="zh-CN"/>
        </w:rPr>
        <w:t>2024-2026年，</w:t>
      </w:r>
      <w:bookmarkStart w:id="27" w:name="_Hlk66998892"/>
      <w:r>
        <w:rPr>
          <w:rFonts w:hint="eastAsia"/>
          <w:color w:val="auto"/>
          <w:lang w:val="en-US" w:eastAsia="zh-CN"/>
        </w:rPr>
        <w:t>产业园计划总投资189536.78万元，其中：中央财政资金7000万元，其他财政资金31100万元，社会资本投入151436.78万元。2024年计划投资85651.73万元，其中使用中央财政资金3000万元；2025年计划投资24800万元；2026年计划投资79085.05万元，其中使用中央财政资金4000万元</w:t>
      </w:r>
      <w:bookmarkEnd w:id="27"/>
      <w:r>
        <w:rPr>
          <w:rFonts w:hint="eastAsia"/>
          <w:color w:val="auto"/>
          <w:lang w:val="en-US" w:eastAsia="zh-CN"/>
        </w:rPr>
        <w:t>。中央财政资金年度使用计划见表4-1。</w:t>
      </w:r>
    </w:p>
    <w:p>
      <w:pPr>
        <w:pageBreakBefore w:val="0"/>
        <w:numPr>
          <w:ilvl w:val="0"/>
          <w:numId w:val="0"/>
        </w:numPr>
        <w:kinsoku/>
        <w:wordWrap/>
        <w:overflowPunct/>
        <w:topLinePunct w:val="0"/>
        <w:bidi w:val="0"/>
        <w:snapToGrid w:val="0"/>
        <w:spacing w:line="360" w:lineRule="auto"/>
        <w:ind w:firstLine="640" w:firstLineChars="200"/>
        <w:rPr>
          <w:rFonts w:hint="eastAsia"/>
          <w:color w:val="auto"/>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16"/>
        <w:ind w:left="0" w:leftChars="0" w:firstLine="0" w:firstLineChars="0"/>
        <w:jc w:val="center"/>
        <w:rPr>
          <w:rFonts w:hint="default"/>
          <w:color w:val="auto"/>
          <w:highlight w:val="none"/>
          <w:lang w:val="en-US" w:eastAsia="zh-CN"/>
        </w:rPr>
      </w:pPr>
      <w:r>
        <w:rPr>
          <w:rFonts w:hint="eastAsia"/>
          <w:color w:val="auto"/>
          <w:highlight w:val="none"/>
          <w:lang w:val="en-US" w:eastAsia="zh-CN"/>
        </w:rPr>
        <w:t>表</w:t>
      </w:r>
      <w:r>
        <w:rPr>
          <w:rFonts w:hint="default" w:ascii="Times New Roman" w:hAnsi="Times New Roman" w:cs="Times New Roman"/>
          <w:color w:val="auto"/>
          <w:highlight w:val="none"/>
          <w:lang w:val="en-US" w:eastAsia="zh-CN"/>
        </w:rPr>
        <w:t>4-1</w:t>
      </w:r>
      <w:r>
        <w:rPr>
          <w:rFonts w:hint="eastAsia"/>
          <w:color w:val="auto"/>
          <w:highlight w:val="none"/>
          <w:lang w:val="en-US" w:eastAsia="zh-CN"/>
        </w:rPr>
        <w:t xml:space="preserve"> 中央财政奖补资金支持项目一览表</w:t>
      </w:r>
    </w:p>
    <w:tbl>
      <w:tblPr>
        <w:tblStyle w:val="1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1285"/>
        <w:gridCol w:w="1657"/>
        <w:gridCol w:w="5078"/>
        <w:gridCol w:w="1711"/>
        <w:gridCol w:w="902"/>
        <w:gridCol w:w="864"/>
        <w:gridCol w:w="699"/>
        <w:gridCol w:w="698"/>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建设主体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建设内容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中央财政奖补资金支持建设内容</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支持方式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支持金额（万元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奖补资金投入计划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（一）产业链供应链完善提升工程</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德惠市肉鸡现代化孵化平台建设项目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吉林省万禾养殖有限公司、德惠市国有资本投资运营（集团）有限公司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项目占地面积约40000</w:t>
            </w:r>
            <w:r>
              <w:rPr>
                <w:rStyle w:val="30"/>
                <w:rFonts w:hint="default" w:ascii="Times New Roman" w:hAnsi="Times New Roman" w:eastAsia="仿宋" w:cs="Times New Roman"/>
                <w:sz w:val="24"/>
                <w:szCs w:val="24"/>
                <w:lang w:val="en-US" w:eastAsia="zh-CN" w:bidi="ar"/>
              </w:rPr>
              <w:t>平方米，总建筑面积7000平方米，孵化中心内设种蛋库、孵化间、出雏间、检疫间、冲洗消毒间等功能单元，年可孵化鸡雏1.5亿只，打造现代化肉鸡孵化平台，为入园企业提供鸡雏孵化公共服务。吉林省万禾养殖有限公司负责孵化中心基础设施建设，德惠市国有资本投资运营（集团）有限公司使用中央财政奖补资金拟投入智能化孵化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中央财政奖补资金主要用于智能化孵化设备购置。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德惠市现代农业产业园农副产品冷库平台建设项目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吉林阔源食品厂、德惠市国有资本投资运营（集团）有限公司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新建农副产品冷库1400平方米，储藏能力2600吨，为园区内企业提供农产品速冻、冷冻、贮藏等公共服务。吉林阔源食品厂负责冷库的基础设施建设，德惠市国有资本投资运营（集团）有限公司使用中央财政奖补资金拟投入冷库内的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中央财政奖补资金主要用于冷库设备购置。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（二）科技创新平台建设工程</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德惠市边岗乡肉鸡良种繁育基地建设项目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吉林德翔牧业有限公司、德惠市国有资本投资运营（集团）有限公司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项目占地面积87013平方米，总建筑面积28133平方米，包括鸡舍13栋，配套科研房等设施。项目的建设将提高园内养殖户、企业种鸡育成质量，减少种鸡繁育、孵化环节造成的损失，带动农户增收、产业提质发展。吉林德翔牧业有限公司负责基地的基础设施建设，德惠市国有资本投资运营（集团）有限公司使用中央财政奖补资金拟投入孵化使用的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中央财政奖补资金主要用于基地智能化孵化设备购置安装。</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国家肉鸡产业技术体系北方实验站实验基地建设项目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吉林德翔牧业有限公司、德惠市国有资本投资运营（集团）有限公司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项目占地面积87337平方米，总建筑面积33893平方米，包括鸡舍18栋，进行国产新品种性能试验、无抗养殖试验等，在园区内全面推广无抗肉鸡养殖技术，提高园区科技研发水平，带动主导产业发展。吉林德翔牧业有限公司负责实验基地的基础设施建设，德惠市国有资本投资运营（集团）有限公司使用中央财政奖补资金拟投入基地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中央财政奖补资金主要用于实验基地设备购置安装。</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鸡肉预制菜及休闲食品中试开发平台建设项目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吉林德翔食品有限公司、德惠市国有资本投资运营（集团）有限公司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建设鸡肉预制菜及休闲食品中试生产平台1座，建筑面积6480平方米，购置不同类型产品中试生产线，满足油炸类、调理类、蒸煮类鸡肉深加工产品开发及中试生产需要，与吉林大学食品学院合作开发深加工产品，带动提升产业园鸡肉产品精深加工能力，补齐鸡肉加工产业短板，实现产业链条向后延伸，附加值进一步提高，产业对地方财政税收贡献增大，吸纳就业增多等多重目标。吉林德翔牧业有限公司负责生产平台的基础设施建设，德惠市国有资本投资运营（集团）有限公司使用中央财政奖补资金拟投入平台使用的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中央财政奖补资金主要用于中试研发平台设备购置安装。</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德惠市国家现代农业产业园肉鸡产业公共检测中心建设项目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吉林德翔食品有限公司、德惠市国有资本投资运营（集团）有限公司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项目使用办公场地960平方米，打造园区公共检测平台。计划购置液相色谱、理化分析仪器等相关检测设备，为入园企业提供药残农残检测、微生物检验、饲料检验、原粮化验、食品安全检测、肉鸡病理毒理检测等相关指标检测，在产业园内形成综合性肉鸡产业公共检测中心，为入园企业乃至全省肉鸡相关企业提供服务。吉林德翔牧业有限公司负责检测中心的基础设施建设，德惠市国有资本投资运营（集团）有限公司使用中央财政奖补资金拟投入检测中心使用的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中央财政奖补资金主要用于微生物检验、饲料检验、食品安全检测等肉鸡产业相关检测设备购置。</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（三）联农带农增收工程</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 w:cs="Times New Roman"/>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吉林省肉鸡产业双创孵化中心建设项目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吉林德翔牧业有限公司、德惠市国有资本投资运营（集团）有限公司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项目使用办公场地4704平方米，建设肉鸡产业双创孵化中心，打造成果转化及产品展示中心、培训交流中心、创业孵化区、洽谈区及多媒体报告厅。为入园企业提供科技研发、技术交流等公共服务，鼓励引导入园企业、农民合作社创业创新，发展多种形式的适度规模经营，将园区打造成为新型经营主体“双创”孵化区。吉林德翔牧业有限公司负责孵化中心的基础设施建设，德惠市国有资本投资运营（集团）有限公司使用中央财政奖补资金拟投入孵化中心使用的设施设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中央奖补资金主要用于孵化中心软件等设备购置及安装。</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直接投入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700</w:t>
            </w:r>
          </w:p>
        </w:tc>
      </w:tr>
    </w:tbl>
    <w:p>
      <w:pPr>
        <w:pStyle w:val="16"/>
        <w:rPr>
          <w:rFonts w:hint="eastAsia"/>
          <w:color w:val="auto"/>
          <w:lang w:val="en-US" w:eastAsia="zh-CN"/>
        </w:rPr>
      </w:pPr>
    </w:p>
    <w:p>
      <w:pPr>
        <w:pStyle w:val="4"/>
        <w:pageBreakBefore w:val="0"/>
        <w:widowControl w:val="0"/>
        <w:kinsoku/>
        <w:wordWrap/>
        <w:overflowPunct/>
        <w:topLinePunct w:val="0"/>
        <w:autoSpaceDE/>
        <w:autoSpaceDN/>
        <w:bidi w:val="0"/>
        <w:adjustRightInd w:val="0"/>
        <w:snapToGrid w:val="0"/>
        <w:spacing w:before="0" w:beforeLines="0" w:after="0" w:line="360" w:lineRule="auto"/>
        <w:ind w:firstLine="640" w:firstLineChars="200"/>
        <w:jc w:val="left"/>
        <w:textAlignment w:val="auto"/>
        <w:outlineLvl w:val="9"/>
        <w:rPr>
          <w:rFonts w:hint="eastAsia" w:cs="Times New Roman"/>
          <w:b w:val="0"/>
          <w:bCs w:val="0"/>
          <w:color w:val="auto"/>
          <w:kern w:val="44"/>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4"/>
        <w:pageBreakBefore w:val="0"/>
        <w:widowControl w:val="0"/>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28" w:name="_Toc4718"/>
      <w:r>
        <w:rPr>
          <w:rFonts w:hint="eastAsia" w:cs="Times New Roman"/>
          <w:b w:val="0"/>
          <w:bCs w:val="0"/>
          <w:color w:val="auto"/>
          <w:kern w:val="44"/>
          <w:sz w:val="32"/>
          <w:szCs w:val="32"/>
          <w:lang w:val="en-US" w:eastAsia="zh-CN"/>
        </w:rPr>
        <w:t>五、</w:t>
      </w:r>
      <w:r>
        <w:rPr>
          <w:rFonts w:hint="eastAsia" w:ascii="Times New Roman" w:hAnsi="Times New Roman" w:cs="Times New Roman"/>
          <w:b w:val="0"/>
          <w:bCs w:val="0"/>
          <w:color w:val="auto"/>
          <w:kern w:val="44"/>
          <w:sz w:val="32"/>
          <w:szCs w:val="32"/>
          <w:lang w:val="en-US" w:eastAsia="zh-CN"/>
        </w:rPr>
        <w:t>预期效益分析</w:t>
      </w:r>
      <w:bookmarkEnd w:id="28"/>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eastAsia" w:eastAsia="楷体" w:cs="Times New Roman"/>
          <w:bCs/>
          <w:color w:val="auto"/>
          <w:lang w:val="en-US" w:eastAsia="zh-CN"/>
        </w:rPr>
      </w:pPr>
      <w:bookmarkStart w:id="29" w:name="_Toc12253"/>
      <w:r>
        <w:rPr>
          <w:rFonts w:hint="eastAsia" w:ascii="Times New Roman" w:hAnsi="Times New Roman" w:eastAsia="楷体" w:cs="Times New Roman"/>
          <w:bCs/>
          <w:color w:val="auto"/>
          <w:lang w:val="en-US" w:eastAsia="zh-CN"/>
        </w:rPr>
        <w:t>（一）</w:t>
      </w:r>
      <w:r>
        <w:rPr>
          <w:rFonts w:hint="eastAsia" w:eastAsia="楷体" w:cs="Times New Roman"/>
          <w:bCs/>
          <w:color w:val="auto"/>
          <w:lang w:val="en-US" w:eastAsia="zh-CN"/>
        </w:rPr>
        <w:t>经济效益</w:t>
      </w:r>
      <w:bookmarkEnd w:id="29"/>
    </w:p>
    <w:p>
      <w:pPr>
        <w:rPr>
          <w:rFonts w:hint="default" w:eastAsia="仿宋"/>
          <w:color w:val="auto"/>
          <w:lang w:val="en-US" w:eastAsia="zh-CN"/>
        </w:rPr>
      </w:pPr>
      <w:r>
        <w:rPr>
          <w:rFonts w:hint="default"/>
          <w:color w:val="auto"/>
          <w:lang w:val="en-US" w:eastAsia="zh-CN"/>
        </w:rPr>
        <w:t>通过产业园创建，</w:t>
      </w:r>
      <w:r>
        <w:rPr>
          <w:rFonts w:hint="eastAsia"/>
          <w:color w:val="auto"/>
          <w:lang w:val="en-US" w:eastAsia="zh-CN"/>
        </w:rPr>
        <w:t>肉鸡</w:t>
      </w:r>
      <w:r>
        <w:rPr>
          <w:rFonts w:hint="default"/>
          <w:color w:val="auto"/>
          <w:lang w:val="en-US" w:eastAsia="zh-CN"/>
        </w:rPr>
        <w:t>主导产业养殖规模、加工规模将得到扩大，主导产业产值将大幅提升。到202</w:t>
      </w:r>
      <w:r>
        <w:rPr>
          <w:rFonts w:hint="eastAsia"/>
          <w:color w:val="auto"/>
          <w:lang w:val="en-US" w:eastAsia="zh-CN"/>
        </w:rPr>
        <w:t>6</w:t>
      </w:r>
      <w:r>
        <w:rPr>
          <w:rFonts w:hint="default"/>
          <w:color w:val="auto"/>
          <w:lang w:val="en-US" w:eastAsia="zh-CN"/>
        </w:rPr>
        <w:t>年，</w:t>
      </w:r>
      <w:r>
        <w:rPr>
          <w:rFonts w:hint="eastAsia"/>
          <w:color w:val="auto"/>
        </w:rPr>
        <w:t>扩大肉鸡</w:t>
      </w:r>
      <w:r>
        <w:rPr>
          <w:rFonts w:hint="eastAsia"/>
          <w:color w:val="auto"/>
          <w:lang w:val="en-US" w:eastAsia="zh-CN"/>
        </w:rPr>
        <w:t>养殖规模达到1.3亿只以上，肉鸡年屠宰</w:t>
      </w:r>
      <w:r>
        <w:rPr>
          <w:rFonts w:hint="eastAsia"/>
          <w:color w:val="auto"/>
        </w:rPr>
        <w:t>加工量</w:t>
      </w:r>
      <w:r>
        <w:rPr>
          <w:rFonts w:hint="eastAsia"/>
          <w:color w:val="auto"/>
          <w:lang w:val="en-US" w:eastAsia="zh-CN"/>
        </w:rPr>
        <w:t>达</w:t>
      </w:r>
      <w:r>
        <w:rPr>
          <w:rFonts w:hint="eastAsia"/>
          <w:color w:val="auto"/>
        </w:rPr>
        <w:t>3亿只，每年转化百万吨玉米，生产160万吨饲料、</w:t>
      </w:r>
      <w:r>
        <w:rPr>
          <w:rFonts w:hint="eastAsia"/>
          <w:color w:val="auto"/>
          <w:highlight w:val="none"/>
          <w:lang w:val="en-US" w:eastAsia="zh-CN"/>
        </w:rPr>
        <w:t>30</w:t>
      </w:r>
      <w:r>
        <w:rPr>
          <w:rFonts w:hint="eastAsia"/>
          <w:color w:val="auto"/>
          <w:highlight w:val="none"/>
        </w:rPr>
        <w:t>万吨鸡肉食品和</w:t>
      </w:r>
      <w:r>
        <w:rPr>
          <w:rFonts w:hint="eastAsia"/>
          <w:color w:val="auto"/>
          <w:highlight w:val="none"/>
          <w:lang w:val="en-US" w:eastAsia="zh-CN"/>
        </w:rPr>
        <w:t>40</w:t>
      </w:r>
      <w:r>
        <w:rPr>
          <w:rFonts w:hint="eastAsia"/>
          <w:color w:val="auto"/>
          <w:highlight w:val="none"/>
        </w:rPr>
        <w:t>万吨有机肥。</w:t>
      </w:r>
      <w:r>
        <w:rPr>
          <w:rFonts w:hint="eastAsia"/>
          <w:color w:val="auto"/>
          <w:highlight w:val="none"/>
          <w:lang w:val="en-US" w:eastAsia="zh-CN"/>
        </w:rPr>
        <w:t>产业园总产值实现200亿元，主导产业产值达到130亿元以上。</w:t>
      </w:r>
    </w:p>
    <w:p>
      <w:pPr>
        <w:pStyle w:val="5"/>
        <w:pageBreakBefore w:val="0"/>
        <w:numPr>
          <w:ilvl w:val="0"/>
          <w:numId w:val="2"/>
        </w:numPr>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eastAsia" w:ascii="Times New Roman" w:hAnsi="Times New Roman" w:eastAsia="楷体" w:cs="Times New Roman"/>
          <w:bCs/>
          <w:color w:val="auto"/>
          <w:lang w:val="en-US" w:eastAsia="zh-CN"/>
        </w:rPr>
      </w:pPr>
      <w:bookmarkStart w:id="30" w:name="_Toc31088"/>
      <w:r>
        <w:rPr>
          <w:rFonts w:hint="eastAsia" w:ascii="Times New Roman" w:hAnsi="Times New Roman" w:eastAsia="楷体" w:cs="Times New Roman"/>
          <w:bCs/>
          <w:color w:val="auto"/>
          <w:lang w:val="en-US" w:eastAsia="zh-CN"/>
        </w:rPr>
        <w:t>社会效益</w:t>
      </w:r>
      <w:bookmarkEnd w:id="30"/>
    </w:p>
    <w:p>
      <w:pPr>
        <w:numPr>
          <w:ilvl w:val="0"/>
          <w:numId w:val="0"/>
        </w:numPr>
        <w:ind w:firstLine="643" w:firstLineChars="200"/>
        <w:rPr>
          <w:rFonts w:hint="default"/>
          <w:color w:val="auto"/>
          <w:lang w:val="en-US" w:eastAsia="zh-CN"/>
        </w:rPr>
      </w:pPr>
      <w:r>
        <w:rPr>
          <w:rFonts w:hint="default"/>
          <w:b/>
          <w:bCs/>
          <w:color w:val="auto"/>
          <w:lang w:val="en-US" w:eastAsia="zh-CN"/>
        </w:rPr>
        <w:t>一是全面提升现代</w:t>
      </w:r>
      <w:r>
        <w:rPr>
          <w:rFonts w:hint="eastAsia"/>
          <w:b/>
          <w:bCs/>
          <w:color w:val="auto"/>
          <w:lang w:val="en-US" w:eastAsia="zh-CN"/>
        </w:rPr>
        <w:t>肉鸡</w:t>
      </w:r>
      <w:r>
        <w:rPr>
          <w:rFonts w:hint="default"/>
          <w:b/>
          <w:bCs/>
          <w:color w:val="auto"/>
          <w:lang w:val="en-US" w:eastAsia="zh-CN"/>
        </w:rPr>
        <w:t>产业科技创新与成果转化能力。</w:t>
      </w:r>
      <w:r>
        <w:rPr>
          <w:rFonts w:hint="default"/>
          <w:color w:val="auto"/>
          <w:lang w:val="en-US" w:eastAsia="zh-CN"/>
        </w:rPr>
        <w:t>园区建成后，将建设成为国家畜产品质量安全示范区、国家畜牧业种养加绿色循环高质量发展先行区、国家农村产业融合发展先导区。现代禽业先进适用技术、高新技术装备成果普遍得到推广和应用。通过创新农业科技成果转化模式及产业化运行机制，使一批农业科技成果应用到实际之中，强化了农业科技成果转化和孵化功能，解决一批</w:t>
      </w:r>
      <w:r>
        <w:rPr>
          <w:rFonts w:hint="eastAsia"/>
          <w:color w:val="auto"/>
          <w:lang w:val="en-US" w:eastAsia="zh-CN"/>
        </w:rPr>
        <w:t>肉鸡</w:t>
      </w:r>
      <w:r>
        <w:rPr>
          <w:rFonts w:hint="default"/>
          <w:color w:val="auto"/>
          <w:lang w:val="en-US" w:eastAsia="zh-CN"/>
        </w:rPr>
        <w:t>产业转型升级健康发展的关键技术难题，形成一批新型经营主体易于接受和应用的</w:t>
      </w:r>
      <w:r>
        <w:rPr>
          <w:rFonts w:hint="eastAsia"/>
          <w:color w:val="auto"/>
          <w:lang w:val="en-US" w:eastAsia="zh-CN"/>
        </w:rPr>
        <w:t>肉鸡产业</w:t>
      </w:r>
      <w:r>
        <w:rPr>
          <w:rFonts w:hint="default"/>
          <w:color w:val="auto"/>
          <w:lang w:val="en-US" w:eastAsia="zh-CN"/>
        </w:rPr>
        <w:t>技术，大幅提高园区及周边农业主导产业的科技含量。园区将成为在不断打造创新链和创业链中实现农业科技成果转化和农业科技创新的重要平台，也成为在校学生毕业实习和从事学术研究实验实习基地。</w:t>
      </w:r>
      <w:r>
        <w:rPr>
          <w:rFonts w:hint="default"/>
          <w:b/>
          <w:bCs/>
          <w:color w:val="auto"/>
          <w:lang w:val="en-US" w:eastAsia="zh-CN"/>
        </w:rPr>
        <w:t>二是促进了农民就业，增加了农民收入。</w:t>
      </w:r>
      <w:r>
        <w:rPr>
          <w:rFonts w:hint="default"/>
          <w:color w:val="auto"/>
          <w:lang w:val="en-US" w:eastAsia="zh-CN"/>
        </w:rPr>
        <w:t>通过园区</w:t>
      </w:r>
      <w:r>
        <w:rPr>
          <w:rFonts w:hint="eastAsia"/>
          <w:color w:val="auto"/>
          <w:lang w:val="en-US" w:eastAsia="zh-CN"/>
        </w:rPr>
        <w:t>肉鸡</w:t>
      </w:r>
      <w:r>
        <w:rPr>
          <w:rFonts w:hint="default"/>
          <w:color w:val="auto"/>
          <w:lang w:val="en-US" w:eastAsia="zh-CN"/>
        </w:rPr>
        <w:t>主导产业新品种、新技术、新产品、新装备的研发、集成、示范与推广，农产品深加工、农产品交易、综合服务、仓储及物流等产业链的延伸，休闲农业和乡村旅游的发展，农村一二三产业深度融合，不仅增加了特色农产品附加值，同时也增加了大量的就业岗位。到</w:t>
      </w:r>
      <w:r>
        <w:rPr>
          <w:rFonts w:hint="eastAsia"/>
          <w:color w:val="auto"/>
          <w:lang w:val="en-US" w:eastAsia="zh-CN"/>
        </w:rPr>
        <w:t>2026</w:t>
      </w:r>
      <w:r>
        <w:rPr>
          <w:rFonts w:hint="default"/>
          <w:color w:val="auto"/>
          <w:lang w:val="en-US" w:eastAsia="zh-CN"/>
        </w:rPr>
        <w:t>年，</w:t>
      </w:r>
      <w:r>
        <w:rPr>
          <w:rFonts w:hint="eastAsia"/>
          <w:color w:val="auto"/>
          <w:lang w:val="en-US" w:eastAsia="zh-CN"/>
        </w:rPr>
        <w:t>全园区</w:t>
      </w:r>
      <w:r>
        <w:rPr>
          <w:rFonts w:hint="default"/>
          <w:color w:val="auto"/>
          <w:lang w:val="en-US" w:eastAsia="zh-CN"/>
        </w:rPr>
        <w:t>从业</w:t>
      </w:r>
      <w:r>
        <w:rPr>
          <w:rFonts w:hint="eastAsia"/>
          <w:color w:val="auto"/>
          <w:lang w:val="en-US" w:eastAsia="zh-CN"/>
        </w:rPr>
        <w:t>肉鸡</w:t>
      </w:r>
      <w:r>
        <w:rPr>
          <w:rFonts w:hint="default"/>
          <w:color w:val="auto"/>
          <w:lang w:val="en-US" w:eastAsia="zh-CN"/>
        </w:rPr>
        <w:t>产业人员总数将达到</w:t>
      </w:r>
      <w:r>
        <w:rPr>
          <w:rFonts w:hint="eastAsia"/>
          <w:color w:val="auto"/>
          <w:lang w:val="en-US" w:eastAsia="zh-CN"/>
        </w:rPr>
        <w:t>7.5</w:t>
      </w:r>
      <w:r>
        <w:rPr>
          <w:rFonts w:hint="default"/>
          <w:color w:val="auto"/>
          <w:lang w:val="en-US" w:eastAsia="zh-CN"/>
        </w:rPr>
        <w:t>万人，产业园内农村居民人均可支配收入将达到</w:t>
      </w:r>
      <w:r>
        <w:rPr>
          <w:rFonts w:hint="eastAsia"/>
          <w:color w:val="auto"/>
          <w:lang w:val="en-US" w:eastAsia="zh-CN"/>
        </w:rPr>
        <w:t>2.97万</w:t>
      </w:r>
      <w:r>
        <w:rPr>
          <w:rFonts w:hint="default"/>
          <w:color w:val="auto"/>
          <w:lang w:val="en-US" w:eastAsia="zh-CN"/>
        </w:rPr>
        <w:t>元，超出</w:t>
      </w:r>
      <w:r>
        <w:rPr>
          <w:rFonts w:hint="eastAsia"/>
          <w:color w:val="auto"/>
          <w:lang w:val="en-US" w:eastAsia="zh-CN"/>
        </w:rPr>
        <w:t>全市</w:t>
      </w:r>
      <w:r>
        <w:rPr>
          <w:rFonts w:hint="default"/>
          <w:color w:val="auto"/>
          <w:lang w:val="en-US" w:eastAsia="zh-CN"/>
        </w:rPr>
        <w:t>农村居民人均可支配收入</w:t>
      </w:r>
      <w:r>
        <w:rPr>
          <w:rFonts w:hint="eastAsia"/>
          <w:color w:val="auto"/>
          <w:lang w:val="en-US" w:eastAsia="zh-CN"/>
        </w:rPr>
        <w:t>32</w:t>
      </w:r>
      <w:r>
        <w:rPr>
          <w:rFonts w:hint="default"/>
          <w:color w:val="auto"/>
          <w:lang w:val="en-US" w:eastAsia="zh-CN"/>
        </w:rPr>
        <w:t>%。</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31" w:name="_Toc25476"/>
      <w:r>
        <w:rPr>
          <w:rFonts w:hint="eastAsia" w:ascii="Times New Roman" w:hAnsi="Times New Roman" w:eastAsia="楷体" w:cs="Times New Roman"/>
          <w:bCs/>
          <w:color w:val="auto"/>
          <w:lang w:val="en-US" w:eastAsia="zh-CN"/>
        </w:rPr>
        <w:t>（三）生态效益</w:t>
      </w:r>
      <w:bookmarkEnd w:id="31"/>
    </w:p>
    <w:p>
      <w:pPr>
        <w:rPr>
          <w:rFonts w:hint="eastAsia"/>
          <w:color w:val="auto"/>
          <w:lang w:val="en-US" w:eastAsia="zh-CN"/>
        </w:rPr>
      </w:pPr>
      <w:r>
        <w:rPr>
          <w:rFonts w:hint="eastAsia"/>
          <w:color w:val="auto"/>
          <w:lang w:val="en-US" w:eastAsia="zh-CN"/>
        </w:rPr>
        <w:t>国家现代农业产业园建设将牢固树立并深入贯彻“绿水青山就是金山银山”理念，在发展的同时，注重生态保护，实现生产生活生态“三生共进”。进一步优化肉鸡产业生产力布局，严格执行畜禽禁养区规划，做到禁养区全面禁养、限养区只减不增、适养区提标升级，以有机肥场改扩建项目、畜禽粪污处理中心为依托，巩固提升规模肉鸡养殖场粪污资源化利用水平，到2026年，园区畜禽粪污资源化利用率达到98%以上。充分利用现有的资源优势，借助粪污资源化利用，实现家禽粪便就近就地转化消纳。</w:t>
      </w:r>
    </w:p>
    <w:p>
      <w:pPr>
        <w:pStyle w:val="4"/>
        <w:pageBreakBefore w:val="0"/>
        <w:widowControl w:val="0"/>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32" w:name="_Toc2956"/>
      <w:r>
        <w:rPr>
          <w:rFonts w:hint="eastAsia" w:cs="Times New Roman"/>
          <w:b w:val="0"/>
          <w:bCs w:val="0"/>
          <w:color w:val="auto"/>
          <w:kern w:val="44"/>
          <w:sz w:val="32"/>
          <w:szCs w:val="32"/>
          <w:lang w:val="en-US" w:eastAsia="zh-CN"/>
        </w:rPr>
        <w:t>六、</w:t>
      </w:r>
      <w:r>
        <w:rPr>
          <w:rFonts w:hint="eastAsia" w:ascii="Times New Roman" w:hAnsi="Times New Roman" w:cs="Times New Roman"/>
          <w:b w:val="0"/>
          <w:bCs w:val="0"/>
          <w:color w:val="auto"/>
          <w:kern w:val="44"/>
          <w:sz w:val="32"/>
          <w:szCs w:val="32"/>
          <w:lang w:val="en-US" w:eastAsia="zh-CN"/>
        </w:rPr>
        <w:t>绩效管理措施</w:t>
      </w:r>
      <w:bookmarkEnd w:id="32"/>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33" w:name="_Toc10802"/>
      <w:bookmarkStart w:id="34" w:name="_Toc2974"/>
      <w:bookmarkStart w:id="35" w:name="_Toc15193"/>
      <w:bookmarkStart w:id="36" w:name="_Toc28827"/>
      <w:r>
        <w:rPr>
          <w:rFonts w:hint="eastAsia" w:ascii="Times New Roman" w:hAnsi="Times New Roman" w:eastAsia="楷体" w:cs="Times New Roman"/>
          <w:bCs/>
          <w:color w:val="auto"/>
          <w:lang w:val="en-US" w:eastAsia="zh-CN"/>
        </w:rPr>
        <w:t>（一）</w:t>
      </w:r>
      <w:bookmarkEnd w:id="33"/>
      <w:bookmarkEnd w:id="34"/>
      <w:bookmarkEnd w:id="35"/>
      <w:r>
        <w:rPr>
          <w:rFonts w:hint="eastAsia" w:eastAsia="楷体" w:cs="Times New Roman"/>
          <w:bCs/>
          <w:color w:val="auto"/>
          <w:lang w:val="en-US" w:eastAsia="zh-CN"/>
        </w:rPr>
        <w:t>使用监管办法</w:t>
      </w:r>
      <w:bookmarkEnd w:id="36"/>
    </w:p>
    <w:p>
      <w:pPr>
        <w:adjustRightInd w:val="0"/>
        <w:snapToGrid w:val="0"/>
        <w:spacing w:line="360" w:lineRule="auto"/>
        <w:ind w:firstLine="643" w:firstLineChars="200"/>
        <w:rPr>
          <w:rFonts w:hint="default" w:ascii="Times New Roman" w:hAnsi="Times New Roman" w:eastAsia="仿宋" w:cs="Times New Roman"/>
          <w:b/>
          <w:bCs w:val="0"/>
          <w:color w:val="auto"/>
          <w:sz w:val="32"/>
          <w:szCs w:val="32"/>
          <w:highlight w:val="none"/>
          <w:lang w:val="en-US" w:eastAsia="zh-CN"/>
        </w:rPr>
      </w:pPr>
      <w:r>
        <w:rPr>
          <w:rFonts w:hint="default" w:ascii="Times New Roman" w:hAnsi="Times New Roman" w:eastAsia="仿宋" w:cs="Times New Roman"/>
          <w:b/>
          <w:bCs w:val="0"/>
          <w:color w:val="auto"/>
          <w:sz w:val="32"/>
          <w:szCs w:val="32"/>
          <w:highlight w:val="none"/>
          <w:lang w:val="en-US" w:eastAsia="zh-CN"/>
        </w:rPr>
        <w:t>1、加强组织领导，明确责任</w:t>
      </w:r>
    </w:p>
    <w:p>
      <w:pPr>
        <w:adjustRightInd w:val="0"/>
        <w:snapToGrid w:val="0"/>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审核确定后，市财政部门和农业农村主管部门按各自职能对财政资金的使用管理工作负责，由财政部门负责财政资金的预算和拨付；在农业农村设立专账管理，由农业农村主管部门负责园区项目审批和资金分配及调剂。</w:t>
      </w:r>
      <w:r>
        <w:rPr>
          <w:rFonts w:hint="eastAsia" w:ascii="仿宋" w:hAnsi="仿宋" w:eastAsia="仿宋" w:cs="仿宋"/>
          <w:color w:val="auto"/>
          <w:sz w:val="32"/>
          <w:szCs w:val="32"/>
          <w:highlight w:val="none"/>
          <w:lang w:val="en-US" w:eastAsia="zh-CN"/>
        </w:rPr>
        <w:t>德惠</w:t>
      </w:r>
      <w:r>
        <w:rPr>
          <w:rFonts w:hint="eastAsia" w:ascii="仿宋" w:hAnsi="仿宋" w:eastAsia="仿宋" w:cs="仿宋"/>
          <w:color w:val="auto"/>
          <w:sz w:val="32"/>
          <w:szCs w:val="32"/>
          <w:highlight w:val="none"/>
        </w:rPr>
        <w:t>市现代农业产业园管理委员会负责项目具体实施工作，与农业农村主管部门和项目单位一起负责编制项目及其预算草案、可行性方案并提出用款计划，按规定合理、有效使用财政资金，收集、汇总、定期报送资金使用管理信息。财政部门负责审核下达项目预算、组织调度财政资金，定期报告财政资金的收支结余和使用与管理情况。审计部门负责对补助资金的分配管理使用进行审计。</w:t>
      </w:r>
    </w:p>
    <w:p>
      <w:pPr>
        <w:adjustRightInd w:val="0"/>
        <w:snapToGrid w:val="0"/>
        <w:spacing w:line="360" w:lineRule="auto"/>
        <w:ind w:firstLine="643" w:firstLineChars="200"/>
        <w:rPr>
          <w:rFonts w:hint="default" w:ascii="Times New Roman" w:hAnsi="Times New Roman" w:eastAsia="仿宋" w:cs="Times New Roman"/>
          <w:b/>
          <w:bCs w:val="0"/>
          <w:color w:val="auto"/>
          <w:sz w:val="32"/>
          <w:szCs w:val="32"/>
          <w:highlight w:val="none"/>
          <w:lang w:val="en-US" w:eastAsia="zh-CN"/>
        </w:rPr>
      </w:pPr>
      <w:r>
        <w:rPr>
          <w:rFonts w:hint="eastAsia" w:ascii="Times New Roman" w:hAnsi="Times New Roman" w:eastAsia="仿宋" w:cs="Times New Roman"/>
          <w:b/>
          <w:bCs w:val="0"/>
          <w:color w:val="auto"/>
          <w:sz w:val="32"/>
          <w:szCs w:val="32"/>
          <w:highlight w:val="none"/>
          <w:lang w:val="en-US" w:eastAsia="zh-CN"/>
        </w:rPr>
        <w:t>2、建立健全管理制度，</w:t>
      </w:r>
      <w:r>
        <w:rPr>
          <w:rFonts w:hint="eastAsia" w:ascii="Times New Roman" w:hAnsi="Times New Roman" w:cs="Times New Roman"/>
          <w:b/>
          <w:bCs w:val="0"/>
          <w:color w:val="auto"/>
          <w:sz w:val="32"/>
          <w:szCs w:val="32"/>
          <w:highlight w:val="none"/>
          <w:lang w:val="en-US" w:eastAsia="zh-CN"/>
        </w:rPr>
        <w:t>实行考核问责</w:t>
      </w:r>
    </w:p>
    <w:p>
      <w:pPr>
        <w:adjustRightInd w:val="0"/>
        <w:snapToGrid w:val="0"/>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建立健全财政资金管理责任制度，</w:t>
      </w:r>
      <w:r>
        <w:rPr>
          <w:rFonts w:hint="eastAsia" w:ascii="仿宋" w:hAnsi="仿宋" w:eastAsia="仿宋" w:cs="仿宋"/>
          <w:color w:val="auto"/>
          <w:sz w:val="32"/>
          <w:szCs w:val="48"/>
          <w:highlight w:val="none"/>
        </w:rPr>
        <w:t>专项资金报账拨付要附真实、有效、合法的凭证。</w:t>
      </w:r>
      <w:r>
        <w:rPr>
          <w:rFonts w:hint="eastAsia" w:ascii="仿宋" w:hAnsi="仿宋" w:eastAsia="仿宋" w:cs="仿宋"/>
          <w:color w:val="auto"/>
          <w:sz w:val="32"/>
          <w:szCs w:val="32"/>
          <w:highlight w:val="none"/>
        </w:rPr>
        <w:t>进行全过程管理，杜绝虚假支出，不得任意改变项目内容或扩大使用范围，保证专款专用，确保财政资金使用的安全性、规范性和有效性。充分发挥财政、审计、纪检监察部门的监督作用，加强对产业园财政专项资金使用的监督，对财政资金使用低效、未完成目标任务以及发生财政资金挤占、挪用和损失浪费的项目单位，追究主要负责人责任，切实保障奖补资金使用绩效。对触犯刑律的，依法移交司法机关处理。</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37" w:name="_Toc1519"/>
      <w:bookmarkStart w:id="38" w:name="_Toc6670"/>
      <w:bookmarkStart w:id="39" w:name="_Toc14890"/>
      <w:r>
        <w:rPr>
          <w:rFonts w:hint="eastAsia" w:ascii="Times New Roman" w:hAnsi="Times New Roman" w:eastAsia="楷体" w:cs="Times New Roman"/>
          <w:bCs/>
          <w:color w:val="auto"/>
          <w:lang w:val="en-US" w:eastAsia="zh-CN"/>
        </w:rPr>
        <w:t>（二）</w:t>
      </w:r>
      <w:bookmarkEnd w:id="37"/>
      <w:bookmarkEnd w:id="38"/>
      <w:r>
        <w:rPr>
          <w:rFonts w:hint="eastAsia" w:ascii="Times New Roman" w:hAnsi="Times New Roman" w:eastAsia="楷体" w:cs="Times New Roman"/>
          <w:bCs/>
          <w:color w:val="auto"/>
          <w:lang w:val="en-US" w:eastAsia="zh-CN"/>
        </w:rPr>
        <w:t>绩效评价</w:t>
      </w:r>
      <w:bookmarkEnd w:id="39"/>
    </w:p>
    <w:p>
      <w:pPr>
        <w:pageBreakBefore w:val="0"/>
        <w:kinsoku/>
        <w:wordWrap/>
        <w:overflowPunct/>
        <w:topLinePunct w:val="0"/>
        <w:autoSpaceDE/>
        <w:autoSpaceDN/>
        <w:bidi w:val="0"/>
        <w:adjustRightInd w:val="0"/>
        <w:snapToGrid w:val="0"/>
        <w:spacing w:line="360" w:lineRule="auto"/>
        <w:ind w:firstLine="640"/>
        <w:textAlignment w:val="auto"/>
        <w:rPr>
          <w:rFonts w:hint="default" w:ascii="仿宋" w:hAnsi="仿宋" w:eastAsia="仿宋" w:cs="宋体"/>
          <w:color w:val="auto"/>
          <w:sz w:val="32"/>
          <w:szCs w:val="32"/>
          <w:highlight w:val="none"/>
          <w:lang w:val="en-US" w:eastAsia="zh-CN"/>
        </w:rPr>
      </w:pPr>
      <w:r>
        <w:rPr>
          <w:rFonts w:hint="eastAsia" w:ascii="仿宋" w:hAnsi="仿宋" w:cs="仿宋"/>
          <w:b/>
          <w:bCs/>
          <w:color w:val="auto"/>
          <w:szCs w:val="32"/>
          <w:lang w:val="en-US" w:eastAsia="zh-CN"/>
        </w:rPr>
        <w:t>一是</w:t>
      </w:r>
      <w:r>
        <w:rPr>
          <w:rFonts w:hint="eastAsia" w:ascii="仿宋" w:hAnsi="仿宋" w:cs="仿宋"/>
          <w:b/>
          <w:bCs/>
          <w:color w:val="auto"/>
          <w:szCs w:val="32"/>
        </w:rPr>
        <w:t>建立考核指标体系</w:t>
      </w:r>
      <w:r>
        <w:rPr>
          <w:rFonts w:hint="eastAsia" w:ascii="仿宋" w:hAnsi="仿宋" w:cs="仿宋"/>
          <w:b/>
          <w:bCs/>
          <w:color w:val="auto"/>
          <w:szCs w:val="32"/>
          <w:lang w:eastAsia="zh-CN"/>
        </w:rPr>
        <w:t>。</w:t>
      </w:r>
      <w:r>
        <w:rPr>
          <w:rFonts w:hint="eastAsia" w:ascii="仿宋" w:hAnsi="仿宋" w:cs="仿宋"/>
          <w:color w:val="auto"/>
          <w:szCs w:val="32"/>
        </w:rPr>
        <w:t>实施绩效考评，推动提高政府管理效率、资金使用效益和公共服务水平。绩效考评的内容可分为项目考评和财务考评，其中项目考评指标包括项目与产业园创建规划的一致性、立项目标完成情况、项目组织管理情况等内容；财务考评指标包括财务计划的科学性、资金配套落实情况、实际支出情况、财务信息质量、财务管理状况等内容。通过进行全过程管理，杜绝虚假支出，不得任意改变项目内容或扩大使用范围，保证专款专用，确保财政资金使用的安全性、规范性和有效性。</w:t>
      </w:r>
      <w:r>
        <w:rPr>
          <w:rFonts w:hint="eastAsia" w:ascii="仿宋" w:hAnsi="仿宋" w:cs="仿宋"/>
          <w:b/>
          <w:bCs/>
          <w:color w:val="auto"/>
          <w:szCs w:val="32"/>
          <w:lang w:val="en-US" w:eastAsia="zh-CN"/>
        </w:rPr>
        <w:t>二是</w:t>
      </w:r>
      <w:r>
        <w:rPr>
          <w:rFonts w:hint="eastAsia" w:ascii="仿宋" w:hAnsi="仿宋" w:eastAsia="仿宋" w:cs="宋体"/>
          <w:b/>
          <w:bCs/>
          <w:color w:val="auto"/>
          <w:sz w:val="32"/>
          <w:szCs w:val="32"/>
          <w:highlight w:val="none"/>
        </w:rPr>
        <w:t>定期开展调度工作</w:t>
      </w:r>
      <w:r>
        <w:rPr>
          <w:rFonts w:hint="eastAsia" w:ascii="仿宋" w:hAnsi="仿宋" w:cs="宋体"/>
          <w:b/>
          <w:bCs/>
          <w:color w:val="auto"/>
          <w:sz w:val="32"/>
          <w:szCs w:val="32"/>
          <w:highlight w:val="none"/>
          <w:lang w:eastAsia="zh-CN"/>
        </w:rPr>
        <w:t>。</w:t>
      </w:r>
      <w:r>
        <w:rPr>
          <w:rFonts w:hint="eastAsia" w:ascii="仿宋" w:hAnsi="仿宋" w:eastAsia="仿宋" w:cs="宋体"/>
          <w:color w:val="auto"/>
          <w:sz w:val="32"/>
          <w:szCs w:val="32"/>
          <w:highlight w:val="none"/>
        </w:rPr>
        <w:t>定期通报各责任单位工作进展情况，严格按照工作进展和完成情况兑现奖惩，形成激励先进、鞭策后进的工作机制。对成效显著、带动农户增收作用明显的入园企业给予重点政策倾斜。</w:t>
      </w:r>
      <w:r>
        <w:rPr>
          <w:rFonts w:hint="eastAsia" w:ascii="仿宋" w:hAnsi="仿宋" w:cs="宋体"/>
          <w:b/>
          <w:bCs/>
          <w:color w:val="auto"/>
          <w:sz w:val="32"/>
          <w:szCs w:val="32"/>
          <w:highlight w:val="none"/>
          <w:lang w:val="en-US" w:eastAsia="zh-CN"/>
        </w:rPr>
        <w:t>三是明确奖惩措施。</w:t>
      </w:r>
      <w:r>
        <w:rPr>
          <w:rFonts w:hint="eastAsia" w:ascii="仿宋" w:hAnsi="仿宋" w:cs="宋体"/>
          <w:color w:val="auto"/>
          <w:sz w:val="32"/>
          <w:szCs w:val="32"/>
          <w:highlight w:val="none"/>
          <w:lang w:val="en-US" w:eastAsia="zh-CN"/>
        </w:rPr>
        <w:t>绩效评价结果为“合格”的，结合工作实际需要予以充分保障（奖补）；“不合格”的，在整改到位的基础上，维持原有预算规模，否则不予安排。</w:t>
      </w:r>
    </w:p>
    <w:p>
      <w:pPr>
        <w:pStyle w:val="5"/>
        <w:pageBreakBefore w:val="0"/>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default" w:ascii="Times New Roman" w:hAnsi="Times New Roman" w:eastAsia="楷体" w:cs="Times New Roman"/>
          <w:bCs/>
          <w:color w:val="auto"/>
          <w:lang w:val="en-US" w:eastAsia="zh-CN"/>
        </w:rPr>
      </w:pPr>
      <w:bookmarkStart w:id="40" w:name="_Toc12991"/>
      <w:bookmarkStart w:id="41" w:name="_Toc4574"/>
      <w:bookmarkStart w:id="42" w:name="_Toc694"/>
      <w:r>
        <w:rPr>
          <w:rFonts w:hint="eastAsia" w:ascii="Times New Roman" w:hAnsi="Times New Roman" w:eastAsia="楷体" w:cs="Times New Roman"/>
          <w:bCs/>
          <w:color w:val="auto"/>
          <w:lang w:val="en-US" w:eastAsia="zh-CN"/>
        </w:rPr>
        <w:t>（三）</w:t>
      </w:r>
      <w:bookmarkEnd w:id="40"/>
      <w:bookmarkEnd w:id="41"/>
      <w:r>
        <w:rPr>
          <w:rFonts w:hint="eastAsia" w:ascii="Times New Roman" w:hAnsi="Times New Roman" w:eastAsia="楷体" w:cs="Times New Roman"/>
          <w:bCs/>
          <w:color w:val="auto"/>
          <w:lang w:val="en-US" w:eastAsia="zh-CN"/>
        </w:rPr>
        <w:t>中央财政奖补资金使用管理办法</w:t>
      </w:r>
      <w:bookmarkEnd w:id="42"/>
    </w:p>
    <w:p>
      <w:pPr>
        <w:numPr>
          <w:ilvl w:val="0"/>
          <w:numId w:val="0"/>
        </w:numPr>
        <w:bidi w:val="0"/>
        <w:ind w:firstLine="640" w:firstLineChars="200"/>
        <w:jc w:val="both"/>
        <w:rPr>
          <w:rFonts w:hint="default"/>
          <w:color w:val="auto"/>
          <w:sz w:val="32"/>
          <w:szCs w:val="32"/>
          <w:lang w:val="en-US" w:eastAsia="zh-CN"/>
        </w:rPr>
      </w:pPr>
      <w:bookmarkStart w:id="43" w:name="_Toc31494"/>
      <w:r>
        <w:rPr>
          <w:rFonts w:hint="eastAsia"/>
          <w:color w:val="auto"/>
          <w:sz w:val="32"/>
          <w:szCs w:val="32"/>
          <w:lang w:val="en-US" w:eastAsia="zh-CN"/>
        </w:rPr>
        <w:t>德惠市制定出台了国家现代农业产业园中央财政奖补资金使用管理办法</w:t>
      </w:r>
      <w:bookmarkEnd w:id="43"/>
      <w:r>
        <w:rPr>
          <w:rFonts w:hint="eastAsia"/>
          <w:color w:val="auto"/>
          <w:sz w:val="32"/>
          <w:szCs w:val="32"/>
          <w:lang w:val="en-US" w:eastAsia="zh-CN"/>
        </w:rPr>
        <w:t>，德惠市人民政府已批复同意予以下发。</w:t>
      </w:r>
    </w:p>
    <w:p>
      <w:pPr>
        <w:pStyle w:val="4"/>
        <w:pageBreakBefore w:val="0"/>
        <w:widowControl w:val="0"/>
        <w:numPr>
          <w:ilvl w:val="0"/>
          <w:numId w:val="3"/>
        </w:numPr>
        <w:kinsoku/>
        <w:wordWrap/>
        <w:overflowPunct/>
        <w:topLinePunct w:val="0"/>
        <w:autoSpaceDE/>
        <w:autoSpaceDN/>
        <w:bidi w:val="0"/>
        <w:adjustRightInd w:val="0"/>
        <w:snapToGrid w:val="0"/>
        <w:spacing w:before="0" w:beforeLines="0" w:after="0" w:line="360" w:lineRule="auto"/>
        <w:ind w:firstLine="640" w:firstLineChars="200"/>
        <w:jc w:val="left"/>
        <w:textAlignment w:val="auto"/>
        <w:rPr>
          <w:rFonts w:hint="eastAsia" w:ascii="Times New Roman" w:hAnsi="Times New Roman" w:cs="Times New Roman"/>
          <w:b w:val="0"/>
          <w:bCs w:val="0"/>
          <w:color w:val="auto"/>
          <w:kern w:val="44"/>
          <w:sz w:val="32"/>
          <w:szCs w:val="32"/>
          <w:lang w:val="en-US" w:eastAsia="zh-CN"/>
        </w:rPr>
      </w:pPr>
      <w:bookmarkStart w:id="44" w:name="_Toc19223"/>
      <w:r>
        <w:rPr>
          <w:rFonts w:hint="eastAsia" w:ascii="Times New Roman" w:hAnsi="Times New Roman" w:cs="Times New Roman"/>
          <w:b w:val="0"/>
          <w:bCs w:val="0"/>
          <w:color w:val="auto"/>
          <w:kern w:val="44"/>
          <w:sz w:val="32"/>
          <w:szCs w:val="32"/>
          <w:lang w:val="en-US" w:eastAsia="zh-CN"/>
        </w:rPr>
        <w:t>保障措施</w:t>
      </w:r>
      <w:bookmarkEnd w:id="44"/>
    </w:p>
    <w:p>
      <w:pPr>
        <w:pStyle w:val="5"/>
        <w:pageBreakBefore w:val="0"/>
        <w:numPr>
          <w:ilvl w:val="0"/>
          <w:numId w:val="4"/>
        </w:numPr>
        <w:kinsoku/>
        <w:wordWrap/>
        <w:overflowPunct/>
        <w:topLinePunct w:val="0"/>
        <w:autoSpaceDE/>
        <w:autoSpaceDN/>
        <w:bidi w:val="0"/>
        <w:adjustRightInd w:val="0"/>
        <w:snapToGrid w:val="0"/>
        <w:spacing w:before="0" w:beforeLines="-2147483648" w:after="0" w:afterLines="-2147483648" w:line="360" w:lineRule="auto"/>
        <w:ind w:firstLine="643" w:firstLineChars="200"/>
        <w:textAlignment w:val="auto"/>
        <w:rPr>
          <w:rFonts w:hint="eastAsia" w:ascii="Times New Roman" w:hAnsi="Times New Roman" w:eastAsia="楷体" w:cs="Times New Roman"/>
          <w:bCs/>
          <w:color w:val="auto"/>
          <w:lang w:val="en-US" w:eastAsia="zh-CN"/>
        </w:rPr>
      </w:pPr>
      <w:bookmarkStart w:id="45" w:name="_Toc5843"/>
      <w:r>
        <w:rPr>
          <w:rFonts w:hint="eastAsia" w:ascii="Times New Roman" w:hAnsi="Times New Roman" w:eastAsia="楷体" w:cs="Times New Roman"/>
          <w:bCs/>
          <w:color w:val="auto"/>
          <w:lang w:val="en-US" w:eastAsia="zh-CN"/>
        </w:rPr>
        <w:t>组织领导</w:t>
      </w:r>
      <w:bookmarkEnd w:id="45"/>
    </w:p>
    <w:p>
      <w:pPr>
        <w:numPr>
          <w:ilvl w:val="0"/>
          <w:numId w:val="0"/>
        </w:numPr>
        <w:ind w:firstLine="643" w:firstLineChars="200"/>
        <w:rPr>
          <w:rFonts w:hint="default"/>
          <w:color w:val="auto"/>
          <w:lang w:val="en-US" w:eastAsia="zh-CN"/>
        </w:rPr>
      </w:pPr>
      <w:r>
        <w:rPr>
          <w:rFonts w:hint="default"/>
          <w:b/>
          <w:bCs/>
          <w:color w:val="auto"/>
          <w:lang w:val="en-US" w:eastAsia="zh-CN"/>
        </w:rPr>
        <w:t>一是</w:t>
      </w:r>
      <w:r>
        <w:rPr>
          <w:rFonts w:hint="default"/>
          <w:color w:val="auto"/>
          <w:lang w:val="en-US" w:eastAsia="zh-CN"/>
        </w:rPr>
        <w:t>要充分发挥</w:t>
      </w:r>
      <w:r>
        <w:rPr>
          <w:rFonts w:hint="eastAsia"/>
          <w:color w:val="auto"/>
          <w:lang w:val="en-US" w:eastAsia="zh-CN"/>
        </w:rPr>
        <w:t>德惠市</w:t>
      </w:r>
      <w:r>
        <w:rPr>
          <w:rFonts w:hint="default"/>
          <w:color w:val="auto"/>
          <w:lang w:val="en-US" w:eastAsia="zh-CN"/>
        </w:rPr>
        <w:t>国家现代农业（</w:t>
      </w:r>
      <w:r>
        <w:rPr>
          <w:rFonts w:hint="eastAsia"/>
          <w:color w:val="auto"/>
          <w:lang w:val="en-US" w:eastAsia="zh-CN"/>
        </w:rPr>
        <w:t>肉鸡</w:t>
      </w:r>
      <w:r>
        <w:rPr>
          <w:rFonts w:hint="default"/>
          <w:color w:val="auto"/>
          <w:lang w:val="en-US" w:eastAsia="zh-CN"/>
        </w:rPr>
        <w:t>）产业园领导小组在规划统筹、政策制定和项目建设指导方面的职责，确保资金使用的科学性和合理性，</w:t>
      </w:r>
      <w:r>
        <w:rPr>
          <w:rFonts w:hint="eastAsia" w:ascii="仿宋" w:hAnsi="仿宋" w:eastAsia="仿宋" w:cs="仿宋"/>
          <w:color w:val="auto"/>
          <w:lang w:val="en-US" w:eastAsia="zh-CN"/>
        </w:rPr>
        <w:t>“把钱花到刀刃上”</w:t>
      </w:r>
      <w:r>
        <w:rPr>
          <w:rFonts w:hint="default"/>
          <w:color w:val="auto"/>
          <w:lang w:val="en-US" w:eastAsia="zh-CN"/>
        </w:rPr>
        <w:t>。</w:t>
      </w:r>
      <w:r>
        <w:rPr>
          <w:rFonts w:hint="default"/>
          <w:b/>
          <w:bCs/>
          <w:color w:val="auto"/>
          <w:lang w:val="en-US" w:eastAsia="zh-CN"/>
        </w:rPr>
        <w:t>二是</w:t>
      </w:r>
      <w:r>
        <w:rPr>
          <w:rFonts w:hint="default"/>
          <w:color w:val="auto"/>
          <w:lang w:val="en-US" w:eastAsia="zh-CN"/>
        </w:rPr>
        <w:t>要强化</w:t>
      </w:r>
      <w:r>
        <w:rPr>
          <w:rFonts w:hint="eastAsia"/>
          <w:color w:val="auto"/>
          <w:lang w:val="en-US" w:eastAsia="zh-CN"/>
        </w:rPr>
        <w:t>市级</w:t>
      </w:r>
      <w:r>
        <w:rPr>
          <w:rFonts w:hint="default"/>
          <w:color w:val="auto"/>
          <w:lang w:val="en-US" w:eastAsia="zh-CN"/>
        </w:rPr>
        <w:t>工作小组在项目建设推进、工作调度和日常管理工作等方面的职责，保</w:t>
      </w:r>
      <w:r>
        <w:rPr>
          <w:rFonts w:hint="eastAsia" w:ascii="仿宋" w:hAnsi="仿宋" w:eastAsia="仿宋" w:cs="仿宋"/>
          <w:color w:val="auto"/>
          <w:lang w:val="en-US" w:eastAsia="zh-CN"/>
        </w:rPr>
        <w:t>证“有人牵头、有人负责、目标清晰、职责明确、协调顺畅、部门配合、便捷高效”的工</w:t>
      </w:r>
      <w:r>
        <w:rPr>
          <w:rFonts w:hint="default"/>
          <w:color w:val="auto"/>
          <w:lang w:val="en-US" w:eastAsia="zh-CN"/>
        </w:rPr>
        <w:t>作状态，为园区建设工作的顺利进行奠定坚实基础。</w:t>
      </w:r>
      <w:r>
        <w:rPr>
          <w:rFonts w:hint="default"/>
          <w:b/>
          <w:bCs/>
          <w:color w:val="auto"/>
          <w:lang w:val="en-US" w:eastAsia="zh-CN"/>
        </w:rPr>
        <w:t>三是</w:t>
      </w:r>
      <w:r>
        <w:rPr>
          <w:rFonts w:hint="default"/>
          <w:color w:val="auto"/>
          <w:lang w:val="en-US" w:eastAsia="zh-CN"/>
        </w:rPr>
        <w:t>要明确</w:t>
      </w:r>
      <w:r>
        <w:rPr>
          <w:rFonts w:hint="eastAsia"/>
          <w:color w:val="auto"/>
          <w:lang w:val="en-US" w:eastAsia="zh-CN"/>
        </w:rPr>
        <w:t>德惠市</w:t>
      </w:r>
      <w:r>
        <w:rPr>
          <w:rFonts w:hint="default"/>
          <w:color w:val="auto"/>
          <w:lang w:val="en-US" w:eastAsia="zh-CN"/>
        </w:rPr>
        <w:t>国家现代农业（</w:t>
      </w:r>
      <w:r>
        <w:rPr>
          <w:rFonts w:hint="eastAsia"/>
          <w:color w:val="auto"/>
          <w:lang w:val="en-US" w:eastAsia="zh-CN"/>
        </w:rPr>
        <w:t>肉鸡</w:t>
      </w:r>
      <w:r>
        <w:rPr>
          <w:rFonts w:hint="default"/>
          <w:color w:val="auto"/>
          <w:lang w:val="en-US" w:eastAsia="zh-CN"/>
        </w:rPr>
        <w:t>）产业园管理委员会（简称</w:t>
      </w:r>
      <w:r>
        <w:rPr>
          <w:rFonts w:hint="eastAsia" w:ascii="仿宋" w:hAnsi="仿宋" w:eastAsia="仿宋" w:cs="仿宋"/>
          <w:color w:val="auto"/>
          <w:lang w:val="en-US" w:eastAsia="zh-CN"/>
        </w:rPr>
        <w:t>“产业园管委会”</w:t>
      </w:r>
      <w:r>
        <w:rPr>
          <w:rFonts w:hint="default"/>
          <w:color w:val="auto"/>
          <w:lang w:val="en-US" w:eastAsia="zh-CN"/>
        </w:rPr>
        <w:t>）在园区建设管理运营中的主体职责，采用市场化运营理念，建</w:t>
      </w:r>
      <w:r>
        <w:rPr>
          <w:rFonts w:hint="eastAsia" w:ascii="仿宋" w:hAnsi="仿宋" w:eastAsia="仿宋" w:cs="仿宋"/>
          <w:color w:val="auto"/>
          <w:lang w:val="en-US" w:eastAsia="zh-CN"/>
        </w:rPr>
        <w:t>立“决策机构一元化，管理机构行政化，服务机构企业化”的扁平式直线职能型产</w:t>
      </w:r>
      <w:r>
        <w:rPr>
          <w:rFonts w:hint="default"/>
          <w:color w:val="auto"/>
          <w:lang w:val="en-US" w:eastAsia="zh-CN"/>
        </w:rPr>
        <w:t>业园管委会组织结构，赋予管委会财政、国土、建设、环保等方面职能，推进项目落地和运行顺畅。</w:t>
      </w:r>
    </w:p>
    <w:p>
      <w:pPr>
        <w:pStyle w:val="5"/>
        <w:pageBreakBefore w:val="0"/>
        <w:numPr>
          <w:ilvl w:val="0"/>
          <w:numId w:val="4"/>
        </w:numPr>
        <w:kinsoku/>
        <w:wordWrap/>
        <w:overflowPunct/>
        <w:topLinePunct w:val="0"/>
        <w:autoSpaceDE/>
        <w:autoSpaceDN/>
        <w:bidi w:val="0"/>
        <w:adjustRightInd w:val="0"/>
        <w:snapToGrid w:val="0"/>
        <w:spacing w:before="0" w:beforeLines="-2147483648" w:after="0" w:afterLines="-2147483648" w:line="360" w:lineRule="auto"/>
        <w:ind w:left="0" w:leftChars="0" w:firstLine="643" w:firstLineChars="200"/>
        <w:textAlignment w:val="auto"/>
        <w:rPr>
          <w:rFonts w:hint="eastAsia" w:ascii="Times New Roman" w:hAnsi="Times New Roman" w:eastAsia="楷体" w:cs="Times New Roman"/>
          <w:bCs/>
          <w:color w:val="auto"/>
          <w:lang w:val="en-US" w:eastAsia="zh-CN"/>
        </w:rPr>
      </w:pPr>
      <w:bookmarkStart w:id="46" w:name="_Toc25653"/>
      <w:r>
        <w:rPr>
          <w:rFonts w:hint="eastAsia" w:ascii="Times New Roman" w:hAnsi="Times New Roman" w:eastAsia="楷体" w:cs="Times New Roman"/>
          <w:bCs/>
          <w:color w:val="auto"/>
          <w:lang w:val="en-US" w:eastAsia="zh-CN"/>
        </w:rPr>
        <w:t>项目管理</w:t>
      </w:r>
      <w:bookmarkEnd w:id="46"/>
    </w:p>
    <w:p>
      <w:pPr>
        <w:numPr>
          <w:ilvl w:val="0"/>
          <w:numId w:val="0"/>
        </w:numPr>
        <w:ind w:firstLine="643" w:firstLineChars="200"/>
        <w:rPr>
          <w:rFonts w:hint="default"/>
          <w:color w:val="auto"/>
          <w:lang w:val="en-US" w:eastAsia="zh-CN"/>
        </w:rPr>
      </w:pPr>
      <w:r>
        <w:rPr>
          <w:rFonts w:hint="default"/>
          <w:b/>
          <w:bCs/>
          <w:color w:val="auto"/>
          <w:lang w:val="en-US" w:eastAsia="zh-CN"/>
        </w:rPr>
        <w:t>一是要做好项目筛选工作。</w:t>
      </w:r>
      <w:r>
        <w:rPr>
          <w:rFonts w:hint="default"/>
          <w:color w:val="auto"/>
          <w:lang w:val="en-US" w:eastAsia="zh-CN"/>
        </w:rPr>
        <w:t>根据产业园创建规划要求，充分论证，做实做细项目建设前期工作，建立好项目库。</w:t>
      </w:r>
      <w:r>
        <w:rPr>
          <w:rFonts w:hint="default"/>
          <w:b/>
          <w:bCs/>
          <w:color w:val="auto"/>
          <w:lang w:val="en-US" w:eastAsia="zh-CN"/>
        </w:rPr>
        <w:t>二是要做好项目实施工作。</w:t>
      </w:r>
      <w:r>
        <w:rPr>
          <w:rFonts w:hint="default"/>
          <w:color w:val="auto"/>
          <w:lang w:val="en-US" w:eastAsia="zh-CN"/>
        </w:rPr>
        <w:t>由产业园管委会统一调度项目建设。在实施过程中落实政府采购制、工程监理制、项目法人负责制、项目招投标制、合同管理制等制度规定，加强项目实施过程监督，确保项目规范、阳光操作。</w:t>
      </w:r>
      <w:r>
        <w:rPr>
          <w:rFonts w:hint="default"/>
          <w:b/>
          <w:bCs/>
          <w:color w:val="auto"/>
          <w:lang w:val="en-US" w:eastAsia="zh-CN"/>
        </w:rPr>
        <w:t>三是要严把项目验收关。</w:t>
      </w:r>
      <w:r>
        <w:rPr>
          <w:rFonts w:hint="default"/>
          <w:color w:val="auto"/>
          <w:lang w:val="en-US" w:eastAsia="zh-CN"/>
        </w:rPr>
        <w:t>项目建设完毕后，项目施工单位向现代农业产业园管理委员会提出验收申请，由现代农业产业园管理委员会组织相关职能部门进行验收。</w:t>
      </w:r>
      <w:r>
        <w:rPr>
          <w:rFonts w:hint="default"/>
          <w:b/>
          <w:bCs/>
          <w:color w:val="auto"/>
          <w:lang w:val="en-US" w:eastAsia="zh-CN"/>
        </w:rPr>
        <w:t>四是要保障资金拨付。</w:t>
      </w:r>
      <w:r>
        <w:rPr>
          <w:rFonts w:hint="default"/>
          <w:color w:val="auto"/>
          <w:lang w:val="en-US" w:eastAsia="zh-CN"/>
        </w:rPr>
        <w:t>根据资金分配计划、合同进度、项目验收等相关资料，由</w:t>
      </w:r>
      <w:r>
        <w:rPr>
          <w:rFonts w:hint="eastAsia"/>
          <w:color w:val="auto"/>
          <w:lang w:val="en-US" w:eastAsia="zh-CN"/>
        </w:rPr>
        <w:t>市</w:t>
      </w:r>
      <w:r>
        <w:rPr>
          <w:rFonts w:hint="default"/>
          <w:color w:val="auto"/>
          <w:lang w:val="en-US" w:eastAsia="zh-CN"/>
        </w:rPr>
        <w:t>财政局做好项目资金拨付，项目资金实行国库集中支付制度，具备国库集中支付条件的，由</w:t>
      </w:r>
      <w:r>
        <w:rPr>
          <w:rFonts w:hint="eastAsia"/>
          <w:color w:val="auto"/>
          <w:lang w:val="en-US" w:eastAsia="zh-CN"/>
        </w:rPr>
        <w:t>市</w:t>
      </w:r>
      <w:r>
        <w:rPr>
          <w:rFonts w:hint="default"/>
          <w:color w:val="auto"/>
          <w:lang w:val="en-US" w:eastAsia="zh-CN"/>
        </w:rPr>
        <w:t>财政部门实行国库集中支付，暂不具备国库集中支付条件的，按有关规定实行报账制管理。</w:t>
      </w:r>
    </w:p>
    <w:p>
      <w:pPr>
        <w:pStyle w:val="5"/>
        <w:pageBreakBefore w:val="0"/>
        <w:numPr>
          <w:ilvl w:val="0"/>
          <w:numId w:val="4"/>
        </w:numPr>
        <w:kinsoku/>
        <w:wordWrap/>
        <w:overflowPunct/>
        <w:topLinePunct w:val="0"/>
        <w:autoSpaceDE/>
        <w:autoSpaceDN/>
        <w:bidi w:val="0"/>
        <w:adjustRightInd w:val="0"/>
        <w:snapToGrid w:val="0"/>
        <w:spacing w:before="0" w:beforeLines="-2147483648" w:after="0" w:afterLines="-2147483648" w:line="360" w:lineRule="auto"/>
        <w:ind w:left="0" w:leftChars="0" w:firstLine="643" w:firstLineChars="200"/>
        <w:textAlignment w:val="auto"/>
        <w:rPr>
          <w:rFonts w:hint="eastAsia" w:ascii="Times New Roman" w:hAnsi="Times New Roman" w:eastAsia="楷体" w:cs="Times New Roman"/>
          <w:bCs/>
          <w:color w:val="auto"/>
          <w:lang w:val="en-US" w:eastAsia="zh-CN"/>
        </w:rPr>
      </w:pPr>
      <w:bookmarkStart w:id="47" w:name="_Toc19646"/>
      <w:r>
        <w:rPr>
          <w:rFonts w:hint="eastAsia" w:ascii="Times New Roman" w:hAnsi="Times New Roman" w:eastAsia="楷体" w:cs="Times New Roman"/>
          <w:bCs/>
          <w:color w:val="auto"/>
          <w:lang w:val="en-US" w:eastAsia="zh-CN"/>
        </w:rPr>
        <w:t>风险防控</w:t>
      </w:r>
      <w:bookmarkEnd w:id="47"/>
    </w:p>
    <w:p>
      <w:pPr>
        <w:numPr>
          <w:ilvl w:val="0"/>
          <w:numId w:val="0"/>
        </w:numPr>
        <w:ind w:firstLine="643" w:firstLineChars="200"/>
        <w:rPr>
          <w:rFonts w:hint="default"/>
          <w:color w:val="auto"/>
          <w:lang w:val="en-US" w:eastAsia="zh-CN"/>
        </w:rPr>
      </w:pPr>
      <w:r>
        <w:rPr>
          <w:rFonts w:hint="default"/>
          <w:b/>
          <w:bCs/>
          <w:color w:val="auto"/>
          <w:lang w:val="en-US" w:eastAsia="zh-CN"/>
        </w:rPr>
        <w:t>一是提高风险防范意识。</w:t>
      </w:r>
      <w:r>
        <w:rPr>
          <w:rFonts w:hint="default"/>
          <w:color w:val="auto"/>
          <w:lang w:val="en-US" w:eastAsia="zh-CN"/>
        </w:rPr>
        <w:t>高度重视财政资金风险防范工作，强调财政资金支付安全性原则，明确提出</w:t>
      </w:r>
      <w:r>
        <w:rPr>
          <w:rFonts w:hint="eastAsia" w:ascii="仿宋" w:hAnsi="仿宋" w:eastAsia="仿宋" w:cs="仿宋"/>
          <w:color w:val="auto"/>
          <w:lang w:val="en-US" w:eastAsia="zh-CN"/>
        </w:rPr>
        <w:t>“申请审核无失误，资金支付无风险，档案资料无缺损，会计处理无差错”</w:t>
      </w:r>
      <w:r>
        <w:rPr>
          <w:rFonts w:hint="default"/>
          <w:color w:val="auto"/>
          <w:lang w:val="en-US" w:eastAsia="zh-CN"/>
        </w:rPr>
        <w:t>的安全工作目标，</w:t>
      </w:r>
      <w:r>
        <w:rPr>
          <w:rFonts w:hint="eastAsia" w:ascii="仿宋" w:hAnsi="仿宋" w:eastAsia="仿宋" w:cs="仿宋"/>
          <w:color w:val="auto"/>
          <w:lang w:val="en-US" w:eastAsia="zh-CN"/>
        </w:rPr>
        <w:t>将“建立健全内部监督制约机制，防范资金风险”列入重要职能内</w:t>
      </w:r>
      <w:r>
        <w:rPr>
          <w:rFonts w:hint="default"/>
          <w:color w:val="auto"/>
          <w:lang w:val="en-US" w:eastAsia="zh-CN"/>
        </w:rPr>
        <w:t>容。</w:t>
      </w:r>
      <w:r>
        <w:rPr>
          <w:rFonts w:hint="default"/>
          <w:b/>
          <w:bCs/>
          <w:color w:val="auto"/>
          <w:lang w:val="en-US" w:eastAsia="zh-CN"/>
        </w:rPr>
        <w:t>二是严格落实规章制度。</w:t>
      </w:r>
      <w:r>
        <w:rPr>
          <w:rFonts w:hint="default"/>
          <w:color w:val="auto"/>
          <w:lang w:val="en-US" w:eastAsia="zh-CN"/>
        </w:rPr>
        <w:t>制定和完善一系列内部控制制度，形成审核、复核、支付、会计核算、信息管理等工作环节的相互制约监督机制，为各项资金的支付设置层层风险</w:t>
      </w:r>
      <w:r>
        <w:rPr>
          <w:rFonts w:hint="eastAsia" w:ascii="仿宋" w:hAnsi="仿宋" w:eastAsia="仿宋" w:cs="仿宋"/>
          <w:color w:val="auto"/>
          <w:lang w:val="en-US" w:eastAsia="zh-CN"/>
        </w:rPr>
        <w:t>“防护网”</w:t>
      </w:r>
      <w:r>
        <w:rPr>
          <w:rFonts w:hint="default"/>
          <w:color w:val="auto"/>
          <w:lang w:val="en-US" w:eastAsia="zh-CN"/>
        </w:rPr>
        <w:t>，狠抓制度落实，强化日常管理，严格操作程序，在资金拨付上，严格遵守申请、审批、拨款、复核的操作程序。</w:t>
      </w:r>
      <w:r>
        <w:rPr>
          <w:rFonts w:hint="default"/>
          <w:b/>
          <w:bCs/>
          <w:color w:val="auto"/>
          <w:lang w:val="en-US" w:eastAsia="zh-CN"/>
        </w:rPr>
        <w:t>三是实行岗位分工控制。</w:t>
      </w:r>
      <w:r>
        <w:rPr>
          <w:rFonts w:hint="default"/>
          <w:color w:val="auto"/>
          <w:lang w:val="en-US" w:eastAsia="zh-CN"/>
        </w:rPr>
        <w:t>按照</w:t>
      </w:r>
      <w:r>
        <w:rPr>
          <w:rFonts w:hint="eastAsia" w:ascii="仿宋" w:hAnsi="仿宋" w:eastAsia="仿宋" w:cs="仿宋"/>
          <w:color w:val="auto"/>
          <w:lang w:val="en-US" w:eastAsia="zh-CN"/>
        </w:rPr>
        <w:t>“管好每一分钱，拨好每一笔款，记好每一笔账，确保财政资金万无一失”的目标</w:t>
      </w:r>
      <w:r>
        <w:rPr>
          <w:rFonts w:hint="default"/>
          <w:color w:val="auto"/>
          <w:lang w:val="en-US" w:eastAsia="zh-CN"/>
        </w:rPr>
        <w:t>要求，对</w:t>
      </w:r>
      <w:r>
        <w:rPr>
          <w:rFonts w:hint="eastAsia"/>
          <w:color w:val="auto"/>
          <w:lang w:val="en-US" w:eastAsia="zh-CN"/>
        </w:rPr>
        <w:t>相关</w:t>
      </w:r>
      <w:r>
        <w:rPr>
          <w:rFonts w:hint="default"/>
          <w:color w:val="auto"/>
          <w:lang w:val="en-US" w:eastAsia="zh-CN"/>
        </w:rPr>
        <w:t>人员合理统筹分工，确定各岗位的职责和权限，从岗位设置和人员分工上实行互相牵制，对各岗位资金业务实行交叉复核，保证办理财政资金业务的不相容岗位相互分离、相互制约、相互监督，形成规范的内部制衡机制。</w:t>
      </w:r>
      <w:r>
        <w:rPr>
          <w:rFonts w:hint="default"/>
          <w:b/>
          <w:bCs/>
          <w:color w:val="auto"/>
          <w:lang w:val="en-US" w:eastAsia="zh-CN"/>
        </w:rPr>
        <w:t>四是建立长效管理机制。</w:t>
      </w:r>
      <w:r>
        <w:rPr>
          <w:rFonts w:hint="default"/>
          <w:color w:val="auto"/>
          <w:lang w:val="en-US" w:eastAsia="zh-CN"/>
        </w:rPr>
        <w:t>对财政预算的安排、</w:t>
      </w:r>
      <w:r>
        <w:rPr>
          <w:rFonts w:hint="eastAsia"/>
          <w:color w:val="auto"/>
          <w:lang w:val="en-US" w:eastAsia="zh-CN"/>
        </w:rPr>
        <w:t>地方财政</w:t>
      </w:r>
      <w:r>
        <w:rPr>
          <w:rFonts w:hint="default"/>
          <w:color w:val="auto"/>
          <w:lang w:val="en-US" w:eastAsia="zh-CN"/>
        </w:rPr>
        <w:t>资金的拨付、预算事项的执行、财政财务的监管等核心职权，对职责分解、岗位设置、审批环节、操作流程等方面，从制度上加以规范和约束，使财政资金的运行全程受到动态化监控，有效保障财政财务管理工作更加公开透明、公平合理地得到实施运作。</w:t>
      </w:r>
    </w:p>
    <w:p>
      <w:pPr>
        <w:pStyle w:val="5"/>
        <w:pageBreakBefore w:val="0"/>
        <w:numPr>
          <w:ilvl w:val="0"/>
          <w:numId w:val="4"/>
        </w:numPr>
        <w:kinsoku/>
        <w:wordWrap/>
        <w:overflowPunct/>
        <w:topLinePunct w:val="0"/>
        <w:autoSpaceDE/>
        <w:autoSpaceDN/>
        <w:bidi w:val="0"/>
        <w:adjustRightInd w:val="0"/>
        <w:snapToGrid w:val="0"/>
        <w:spacing w:before="0" w:beforeLines="-2147483648" w:after="0" w:afterLines="-2147483648" w:line="360" w:lineRule="auto"/>
        <w:ind w:left="0" w:leftChars="0" w:firstLine="643" w:firstLineChars="200"/>
        <w:textAlignment w:val="auto"/>
        <w:rPr>
          <w:rFonts w:hint="eastAsia" w:ascii="Times New Roman" w:hAnsi="Times New Roman" w:eastAsia="楷体" w:cs="Times New Roman"/>
          <w:bCs/>
          <w:color w:val="auto"/>
          <w:lang w:val="en-US" w:eastAsia="zh-CN"/>
        </w:rPr>
      </w:pPr>
      <w:bookmarkStart w:id="48" w:name="_Toc14790"/>
      <w:r>
        <w:rPr>
          <w:rFonts w:hint="eastAsia" w:ascii="Times New Roman" w:hAnsi="Times New Roman" w:eastAsia="楷体" w:cs="Times New Roman"/>
          <w:bCs/>
          <w:color w:val="auto"/>
          <w:lang w:val="en-US" w:eastAsia="zh-CN"/>
        </w:rPr>
        <w:t>信息公开</w:t>
      </w:r>
      <w:bookmarkEnd w:id="48"/>
    </w:p>
    <w:p>
      <w:pPr>
        <w:numPr>
          <w:ilvl w:val="0"/>
          <w:numId w:val="0"/>
        </w:numPr>
        <w:ind w:firstLine="643" w:firstLineChars="200"/>
        <w:rPr>
          <w:rFonts w:hint="default"/>
          <w:color w:val="auto"/>
          <w:lang w:val="en-US" w:eastAsia="zh-CN"/>
        </w:rPr>
      </w:pPr>
      <w:r>
        <w:rPr>
          <w:rFonts w:hint="eastAsia"/>
          <w:b/>
          <w:bCs/>
          <w:color w:val="auto"/>
          <w:lang w:val="en-US" w:eastAsia="zh-CN"/>
        </w:rPr>
        <w:t>一是</w:t>
      </w:r>
      <w:r>
        <w:rPr>
          <w:rFonts w:hint="eastAsia"/>
          <w:color w:val="auto"/>
          <w:lang w:val="en-US" w:eastAsia="zh-CN"/>
        </w:rPr>
        <w:t>德惠市财政</w:t>
      </w:r>
      <w:r>
        <w:rPr>
          <w:rFonts w:hint="default"/>
          <w:color w:val="auto"/>
          <w:lang w:val="en-US" w:eastAsia="zh-CN"/>
        </w:rPr>
        <w:t>部门是本</w:t>
      </w:r>
      <w:r>
        <w:rPr>
          <w:rFonts w:hint="eastAsia"/>
          <w:color w:val="auto"/>
          <w:lang w:val="en-US" w:eastAsia="zh-CN"/>
        </w:rPr>
        <w:t>项目</w:t>
      </w:r>
      <w:r>
        <w:rPr>
          <w:rFonts w:hint="default"/>
          <w:color w:val="auto"/>
          <w:lang w:val="en-US" w:eastAsia="zh-CN"/>
        </w:rPr>
        <w:t>经管专项资金信息公开公示的责任主体。项目实施单位要及时以适当方式公开财政资金使用情况。下放项目审批权限的专项资金，由</w:t>
      </w:r>
      <w:r>
        <w:rPr>
          <w:rFonts w:hint="eastAsia"/>
          <w:color w:val="auto"/>
          <w:lang w:val="en-US" w:eastAsia="zh-CN"/>
        </w:rPr>
        <w:t>其他</w:t>
      </w:r>
      <w:r>
        <w:rPr>
          <w:rFonts w:hint="default"/>
          <w:color w:val="auto"/>
          <w:lang w:val="en-US" w:eastAsia="zh-CN"/>
        </w:rPr>
        <w:t>业务主管部门、用款单位</w:t>
      </w:r>
      <w:r>
        <w:rPr>
          <w:rFonts w:hint="eastAsia"/>
          <w:color w:val="auto"/>
          <w:lang w:val="en-US" w:eastAsia="zh-CN"/>
        </w:rPr>
        <w:t>严格按照规定</w:t>
      </w:r>
      <w:r>
        <w:rPr>
          <w:rFonts w:hint="default"/>
          <w:color w:val="auto"/>
          <w:lang w:val="en-US" w:eastAsia="zh-CN"/>
        </w:rPr>
        <w:t>，对管理过程产生的相关信息进行公开公示。</w:t>
      </w:r>
      <w:r>
        <w:rPr>
          <w:rFonts w:hint="eastAsia"/>
          <w:b/>
          <w:bCs/>
          <w:color w:val="auto"/>
          <w:lang w:val="en-US" w:eastAsia="zh-CN"/>
        </w:rPr>
        <w:t>二是</w:t>
      </w:r>
      <w:r>
        <w:rPr>
          <w:rFonts w:hint="default"/>
          <w:color w:val="auto"/>
          <w:lang w:val="en-US" w:eastAsia="zh-CN"/>
        </w:rPr>
        <w:t>除涉及保密要求或重大敏感事项不予公开的专项资金信息外，专项资金的分配、执行和结果等全过程信息，按</w:t>
      </w:r>
      <w:r>
        <w:rPr>
          <w:rFonts w:hint="eastAsia" w:ascii="仿宋" w:hAnsi="仿宋" w:eastAsia="仿宋" w:cs="仿宋"/>
          <w:color w:val="auto"/>
          <w:lang w:val="en-US" w:eastAsia="zh-CN"/>
        </w:rPr>
        <w:t>照“谁制定、谁分配、谁使用、谁公开”的原</w:t>
      </w:r>
      <w:r>
        <w:rPr>
          <w:rFonts w:hint="default"/>
          <w:color w:val="auto"/>
          <w:lang w:val="en-US" w:eastAsia="zh-CN"/>
        </w:rPr>
        <w:t>则向社会公开。</w:t>
      </w:r>
      <w:r>
        <w:rPr>
          <w:rFonts w:hint="eastAsia"/>
          <w:b/>
          <w:bCs/>
          <w:color w:val="auto"/>
          <w:lang w:val="en-US" w:eastAsia="zh-CN"/>
        </w:rPr>
        <w:t>三是</w:t>
      </w:r>
      <w:r>
        <w:rPr>
          <w:rFonts w:hint="eastAsia"/>
          <w:color w:val="auto"/>
          <w:lang w:val="en-US" w:eastAsia="zh-CN"/>
        </w:rPr>
        <w:t>行业</w:t>
      </w:r>
      <w:r>
        <w:rPr>
          <w:rFonts w:hint="default"/>
          <w:color w:val="auto"/>
          <w:lang w:val="en-US" w:eastAsia="zh-CN"/>
        </w:rPr>
        <w:t>主管部门应在相关信息审批生效后20日内，通过本部门门户网站或相关信息系统等载体向社会公开。市县业务主管部门、用款单位应通过本部门或本级政府、上级主管部门门户网站及其他信息载体进行公开。</w:t>
      </w:r>
    </w:p>
    <w:p>
      <w:pPr>
        <w:rPr>
          <w:rFonts w:hint="default"/>
          <w:color w:val="auto"/>
          <w:lang w:val="en-US" w:eastAsia="zh-CN"/>
        </w:rPr>
      </w:pPr>
      <w:r>
        <w:rPr>
          <w:rFonts w:hint="default"/>
          <w:color w:val="auto"/>
          <w:lang w:val="en-US" w:eastAsia="zh-CN"/>
        </w:rPr>
        <w:br w:type="page"/>
      </w:r>
    </w:p>
    <w:p>
      <w:pPr>
        <w:pStyle w:val="4"/>
        <w:pageBreakBefore w:val="0"/>
        <w:widowControl w:val="0"/>
        <w:numPr>
          <w:ilvl w:val="0"/>
          <w:numId w:val="0"/>
        </w:numPr>
        <w:kinsoku/>
        <w:wordWrap/>
        <w:overflowPunct/>
        <w:topLinePunct w:val="0"/>
        <w:autoSpaceDE/>
        <w:autoSpaceDN/>
        <w:bidi w:val="0"/>
        <w:adjustRightInd w:val="0"/>
        <w:snapToGrid w:val="0"/>
        <w:spacing w:before="0" w:beforeLines="0" w:after="0" w:line="360" w:lineRule="auto"/>
        <w:jc w:val="left"/>
        <w:textAlignment w:val="auto"/>
        <w:rPr>
          <w:rFonts w:hint="eastAsia" w:ascii="Times New Roman" w:hAnsi="Times New Roman" w:cs="Times New Roman"/>
          <w:b w:val="0"/>
          <w:bCs w:val="0"/>
          <w:color w:val="auto"/>
          <w:kern w:val="44"/>
          <w:sz w:val="32"/>
          <w:szCs w:val="32"/>
          <w:lang w:val="en-US" w:eastAsia="zh-CN"/>
        </w:rPr>
      </w:pPr>
      <w:bookmarkStart w:id="49" w:name="_Toc29872"/>
      <w:r>
        <w:rPr>
          <w:rFonts w:hint="eastAsia" w:ascii="Times New Roman" w:hAnsi="Times New Roman" w:cs="Times New Roman"/>
          <w:b w:val="0"/>
          <w:bCs w:val="0"/>
          <w:color w:val="auto"/>
          <w:kern w:val="44"/>
          <w:sz w:val="32"/>
          <w:szCs w:val="32"/>
          <w:lang w:val="en-US" w:eastAsia="zh-CN"/>
        </w:rPr>
        <w:t>附：县级人民政府批复同意的现代农业产业园中央财政奖补资金使用管理办法</w:t>
      </w:r>
      <w:bookmarkEnd w:id="49"/>
    </w:p>
    <w:p>
      <w:pPr>
        <w:ind w:left="0" w:leftChars="0" w:firstLine="0" w:firstLineChars="0"/>
        <w:rPr>
          <w:rFonts w:hint="default"/>
          <w:color w:val="auto"/>
          <w:lang w:val="en-US" w:eastAsia="zh-CN"/>
        </w:rPr>
      </w:pPr>
      <w:r>
        <w:rPr>
          <w:color w:val="auto"/>
        </w:rPr>
        <w:drawing>
          <wp:inline distT="0" distB="0" distL="114300" distR="114300">
            <wp:extent cx="5272405" cy="7418705"/>
            <wp:effectExtent l="0" t="0" r="444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2405" cy="7418705"/>
                    </a:xfrm>
                    <a:prstGeom prst="rect">
                      <a:avLst/>
                    </a:prstGeom>
                    <a:noFill/>
                    <a:ln>
                      <a:noFill/>
                    </a:ln>
                  </pic:spPr>
                </pic:pic>
              </a:graphicData>
            </a:graphic>
          </wp:inline>
        </w:drawing>
      </w:r>
      <w:r>
        <w:rPr>
          <w:color w:val="auto"/>
        </w:rPr>
        <w:drawing>
          <wp:inline distT="0" distB="0" distL="114300" distR="114300">
            <wp:extent cx="5272405" cy="7356475"/>
            <wp:effectExtent l="0" t="0" r="4445"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272405" cy="7356475"/>
                    </a:xfrm>
                    <a:prstGeom prst="rect">
                      <a:avLst/>
                    </a:prstGeom>
                    <a:noFill/>
                    <a:ln>
                      <a:noFill/>
                    </a:ln>
                  </pic:spPr>
                </pic:pic>
              </a:graphicData>
            </a:graphic>
          </wp:inline>
        </w:drawing>
      </w:r>
      <w:r>
        <w:rPr>
          <w:color w:val="auto"/>
        </w:rPr>
        <w:drawing>
          <wp:inline distT="0" distB="0" distL="114300" distR="114300">
            <wp:extent cx="5272405" cy="7480935"/>
            <wp:effectExtent l="0" t="0" r="4445" b="57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272405" cy="7480935"/>
                    </a:xfrm>
                    <a:prstGeom prst="rect">
                      <a:avLst/>
                    </a:prstGeom>
                    <a:noFill/>
                    <a:ln>
                      <a:noFill/>
                    </a:ln>
                  </pic:spPr>
                </pic:pic>
              </a:graphicData>
            </a:graphic>
          </wp:inline>
        </w:drawing>
      </w:r>
      <w:r>
        <w:rPr>
          <w:color w:val="auto"/>
        </w:rPr>
        <w:drawing>
          <wp:inline distT="0" distB="0" distL="114300" distR="114300">
            <wp:extent cx="5271135" cy="7442835"/>
            <wp:effectExtent l="0" t="0" r="5715" b="57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5271135" cy="7442835"/>
                    </a:xfrm>
                    <a:prstGeom prst="rect">
                      <a:avLst/>
                    </a:prstGeom>
                    <a:noFill/>
                    <a:ln>
                      <a:noFill/>
                    </a:ln>
                  </pic:spPr>
                </pic:pic>
              </a:graphicData>
            </a:graphic>
          </wp:inline>
        </w:drawing>
      </w:r>
      <w:r>
        <w:rPr>
          <w:color w:val="auto"/>
        </w:rPr>
        <w:drawing>
          <wp:inline distT="0" distB="0" distL="114300" distR="114300">
            <wp:extent cx="5272405" cy="7548880"/>
            <wp:effectExtent l="0" t="0" r="4445" b="1397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3"/>
                    <a:stretch>
                      <a:fillRect/>
                    </a:stretch>
                  </pic:blipFill>
                  <pic:spPr>
                    <a:xfrm>
                      <a:off x="0" y="0"/>
                      <a:ext cx="5272405" cy="7548880"/>
                    </a:xfrm>
                    <a:prstGeom prst="rect">
                      <a:avLst/>
                    </a:prstGeom>
                    <a:noFill/>
                    <a:ln>
                      <a:noFill/>
                    </a:ln>
                  </pic:spPr>
                </pic:pic>
              </a:graphicData>
            </a:graphic>
          </wp:inline>
        </w:drawing>
      </w:r>
    </w:p>
    <w:p>
      <w:pPr>
        <w:pStyle w:val="15"/>
        <w:ind w:left="0" w:leftChars="0" w:firstLine="0" w:firstLineChars="0"/>
        <w:outlineLvl w:val="9"/>
        <w:rPr>
          <w:rFonts w:hint="default"/>
          <w:color w:val="auto"/>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C51D6"/>
    <w:multiLevelType w:val="singleLevel"/>
    <w:tmpl w:val="0DCC51D6"/>
    <w:lvl w:ilvl="0" w:tentative="0">
      <w:start w:val="7"/>
      <w:numFmt w:val="chineseCounting"/>
      <w:suff w:val="nothing"/>
      <w:lvlText w:val="%1、"/>
      <w:lvlJc w:val="left"/>
      <w:rPr>
        <w:rFonts w:hint="eastAsia"/>
      </w:rPr>
    </w:lvl>
  </w:abstractNum>
  <w:abstractNum w:abstractNumId="1">
    <w:nsid w:val="47814869"/>
    <w:multiLevelType w:val="singleLevel"/>
    <w:tmpl w:val="47814869"/>
    <w:lvl w:ilvl="0" w:tentative="0">
      <w:start w:val="2"/>
      <w:numFmt w:val="chineseCounting"/>
      <w:suff w:val="nothing"/>
      <w:lvlText w:val="（%1）"/>
      <w:lvlJc w:val="left"/>
      <w:rPr>
        <w:rFonts w:hint="eastAsia"/>
      </w:rPr>
    </w:lvl>
  </w:abstractNum>
  <w:abstractNum w:abstractNumId="2">
    <w:nsid w:val="614957FD"/>
    <w:multiLevelType w:val="singleLevel"/>
    <w:tmpl w:val="614957FD"/>
    <w:lvl w:ilvl="0" w:tentative="0">
      <w:start w:val="1"/>
      <w:numFmt w:val="chineseCounting"/>
      <w:suff w:val="nothing"/>
      <w:lvlText w:val="（%1）"/>
      <w:lvlJc w:val="left"/>
      <w:rPr>
        <w:rFonts w:hint="eastAsia"/>
      </w:rPr>
    </w:lvl>
  </w:abstractNum>
  <w:abstractNum w:abstractNumId="3">
    <w:nsid w:val="6391E82B"/>
    <w:multiLevelType w:val="singleLevel"/>
    <w:tmpl w:val="6391E82B"/>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ZDk4Y2M0ZjE2ZDc1OGFlNTIyNzIzYzUwODY2MmUifQ=="/>
  </w:docVars>
  <w:rsids>
    <w:rsidRoot w:val="08691EEC"/>
    <w:rsid w:val="00950240"/>
    <w:rsid w:val="012B4701"/>
    <w:rsid w:val="016245C6"/>
    <w:rsid w:val="029406B8"/>
    <w:rsid w:val="029622D7"/>
    <w:rsid w:val="02A95769"/>
    <w:rsid w:val="02BE3A7E"/>
    <w:rsid w:val="030C5E82"/>
    <w:rsid w:val="032D29B2"/>
    <w:rsid w:val="03795BF7"/>
    <w:rsid w:val="03830824"/>
    <w:rsid w:val="03A32C74"/>
    <w:rsid w:val="03C2134C"/>
    <w:rsid w:val="04090D29"/>
    <w:rsid w:val="044F07DB"/>
    <w:rsid w:val="0472786D"/>
    <w:rsid w:val="049851A7"/>
    <w:rsid w:val="04F01EE9"/>
    <w:rsid w:val="052756BA"/>
    <w:rsid w:val="058D14E6"/>
    <w:rsid w:val="05CC0260"/>
    <w:rsid w:val="05F1372B"/>
    <w:rsid w:val="061D6924"/>
    <w:rsid w:val="07217D65"/>
    <w:rsid w:val="0797489E"/>
    <w:rsid w:val="07EF46DA"/>
    <w:rsid w:val="082D0D5E"/>
    <w:rsid w:val="083E11BD"/>
    <w:rsid w:val="086329D2"/>
    <w:rsid w:val="08691EEC"/>
    <w:rsid w:val="08850B9A"/>
    <w:rsid w:val="08A90D2D"/>
    <w:rsid w:val="08B03E69"/>
    <w:rsid w:val="08EE04EE"/>
    <w:rsid w:val="0B955598"/>
    <w:rsid w:val="0C37664F"/>
    <w:rsid w:val="0C6A07D3"/>
    <w:rsid w:val="0CB3217A"/>
    <w:rsid w:val="0CC67B05"/>
    <w:rsid w:val="0CD67C16"/>
    <w:rsid w:val="0D3A01A5"/>
    <w:rsid w:val="0D51729D"/>
    <w:rsid w:val="0D961154"/>
    <w:rsid w:val="0DA9532B"/>
    <w:rsid w:val="0DBC0BBA"/>
    <w:rsid w:val="0DD732C9"/>
    <w:rsid w:val="0E320E7D"/>
    <w:rsid w:val="0E3966AF"/>
    <w:rsid w:val="0E9D6C3E"/>
    <w:rsid w:val="0EB6385C"/>
    <w:rsid w:val="0F052A35"/>
    <w:rsid w:val="0F391ACC"/>
    <w:rsid w:val="0F5337A0"/>
    <w:rsid w:val="0F7D6CDF"/>
    <w:rsid w:val="0FA1033D"/>
    <w:rsid w:val="0FB82A62"/>
    <w:rsid w:val="100C617A"/>
    <w:rsid w:val="100F5919"/>
    <w:rsid w:val="10947BCD"/>
    <w:rsid w:val="11E86905"/>
    <w:rsid w:val="120B0362"/>
    <w:rsid w:val="1255782F"/>
    <w:rsid w:val="12B33966"/>
    <w:rsid w:val="12DD1CFF"/>
    <w:rsid w:val="12DF2064"/>
    <w:rsid w:val="13B376EE"/>
    <w:rsid w:val="13E56553"/>
    <w:rsid w:val="143516C6"/>
    <w:rsid w:val="144641F2"/>
    <w:rsid w:val="148D1503"/>
    <w:rsid w:val="14A81E98"/>
    <w:rsid w:val="14F670A8"/>
    <w:rsid w:val="15152798"/>
    <w:rsid w:val="156368F6"/>
    <w:rsid w:val="159A3ED7"/>
    <w:rsid w:val="15DE268C"/>
    <w:rsid w:val="17365E81"/>
    <w:rsid w:val="175170EB"/>
    <w:rsid w:val="17575DF8"/>
    <w:rsid w:val="188350F6"/>
    <w:rsid w:val="18846779"/>
    <w:rsid w:val="198A7DBF"/>
    <w:rsid w:val="199074F9"/>
    <w:rsid w:val="1A361CF4"/>
    <w:rsid w:val="1A736AA5"/>
    <w:rsid w:val="1A8C400A"/>
    <w:rsid w:val="1ACB416A"/>
    <w:rsid w:val="1AFF336A"/>
    <w:rsid w:val="1BE51C24"/>
    <w:rsid w:val="1CA4388D"/>
    <w:rsid w:val="1D396442"/>
    <w:rsid w:val="1D4A19F2"/>
    <w:rsid w:val="1DCD6CB9"/>
    <w:rsid w:val="1DE859FC"/>
    <w:rsid w:val="1E0565AE"/>
    <w:rsid w:val="1F0625DD"/>
    <w:rsid w:val="1F1C3BAF"/>
    <w:rsid w:val="1F5070CE"/>
    <w:rsid w:val="1F9E2816"/>
    <w:rsid w:val="1FE87F35"/>
    <w:rsid w:val="204F3608"/>
    <w:rsid w:val="20E95D13"/>
    <w:rsid w:val="21555156"/>
    <w:rsid w:val="21562C7C"/>
    <w:rsid w:val="21B46CC5"/>
    <w:rsid w:val="21C83B7A"/>
    <w:rsid w:val="227C6712"/>
    <w:rsid w:val="22897265"/>
    <w:rsid w:val="229B4DEB"/>
    <w:rsid w:val="22B42350"/>
    <w:rsid w:val="22BF31CF"/>
    <w:rsid w:val="22CF718A"/>
    <w:rsid w:val="22E449E3"/>
    <w:rsid w:val="23AB72AF"/>
    <w:rsid w:val="24593AAD"/>
    <w:rsid w:val="2492046F"/>
    <w:rsid w:val="24D64800"/>
    <w:rsid w:val="25341526"/>
    <w:rsid w:val="25387031"/>
    <w:rsid w:val="25387269"/>
    <w:rsid w:val="25951FC5"/>
    <w:rsid w:val="25BF34E6"/>
    <w:rsid w:val="26853296"/>
    <w:rsid w:val="26C15F7C"/>
    <w:rsid w:val="278505C3"/>
    <w:rsid w:val="27DD18F5"/>
    <w:rsid w:val="27EB2370"/>
    <w:rsid w:val="280217AE"/>
    <w:rsid w:val="29053906"/>
    <w:rsid w:val="293E2974"/>
    <w:rsid w:val="2A7E571E"/>
    <w:rsid w:val="2AAA6513"/>
    <w:rsid w:val="2B1C4F36"/>
    <w:rsid w:val="2B97636B"/>
    <w:rsid w:val="2C35005E"/>
    <w:rsid w:val="2C426E83"/>
    <w:rsid w:val="2C66290D"/>
    <w:rsid w:val="2C7332D9"/>
    <w:rsid w:val="2D1F2134"/>
    <w:rsid w:val="2D964B2C"/>
    <w:rsid w:val="2E352597"/>
    <w:rsid w:val="2E9372BE"/>
    <w:rsid w:val="2F4D161E"/>
    <w:rsid w:val="2FBE5596"/>
    <w:rsid w:val="30D37E45"/>
    <w:rsid w:val="3163566D"/>
    <w:rsid w:val="31660CB9"/>
    <w:rsid w:val="316F5DC0"/>
    <w:rsid w:val="319B6BB5"/>
    <w:rsid w:val="31FE09B5"/>
    <w:rsid w:val="32230959"/>
    <w:rsid w:val="32665B26"/>
    <w:rsid w:val="333F5C66"/>
    <w:rsid w:val="33525999"/>
    <w:rsid w:val="33743B62"/>
    <w:rsid w:val="337844FA"/>
    <w:rsid w:val="33E5680D"/>
    <w:rsid w:val="340D18C0"/>
    <w:rsid w:val="341A07AB"/>
    <w:rsid w:val="34441786"/>
    <w:rsid w:val="348953EB"/>
    <w:rsid w:val="34CE72A2"/>
    <w:rsid w:val="3558300F"/>
    <w:rsid w:val="35867B7C"/>
    <w:rsid w:val="35F44AE6"/>
    <w:rsid w:val="36405F7D"/>
    <w:rsid w:val="36581519"/>
    <w:rsid w:val="375D66BB"/>
    <w:rsid w:val="379F1406"/>
    <w:rsid w:val="38B92017"/>
    <w:rsid w:val="38E86458"/>
    <w:rsid w:val="39050DB8"/>
    <w:rsid w:val="396C0E37"/>
    <w:rsid w:val="39732CC8"/>
    <w:rsid w:val="39807A19"/>
    <w:rsid w:val="399B34CA"/>
    <w:rsid w:val="39C26CA9"/>
    <w:rsid w:val="3A257964"/>
    <w:rsid w:val="3B612F35"/>
    <w:rsid w:val="3C176B12"/>
    <w:rsid w:val="3C683B38"/>
    <w:rsid w:val="3C6D114E"/>
    <w:rsid w:val="3D282D25"/>
    <w:rsid w:val="3D5531B4"/>
    <w:rsid w:val="3DBF1E7D"/>
    <w:rsid w:val="3DE47B36"/>
    <w:rsid w:val="3E0B50C2"/>
    <w:rsid w:val="3E6A32FB"/>
    <w:rsid w:val="3E974BA8"/>
    <w:rsid w:val="3EA662C7"/>
    <w:rsid w:val="3EAD1CD6"/>
    <w:rsid w:val="3EB72A7F"/>
    <w:rsid w:val="3EFB0C93"/>
    <w:rsid w:val="3F9D1D4A"/>
    <w:rsid w:val="3FF878C8"/>
    <w:rsid w:val="400242A3"/>
    <w:rsid w:val="400D3374"/>
    <w:rsid w:val="40363505"/>
    <w:rsid w:val="40A13ABC"/>
    <w:rsid w:val="41594397"/>
    <w:rsid w:val="41BD2B78"/>
    <w:rsid w:val="42B20202"/>
    <w:rsid w:val="42E61C5A"/>
    <w:rsid w:val="43784FA8"/>
    <w:rsid w:val="447B63D2"/>
    <w:rsid w:val="462A6302"/>
    <w:rsid w:val="467F21AA"/>
    <w:rsid w:val="46A61ACA"/>
    <w:rsid w:val="472745EF"/>
    <w:rsid w:val="47665118"/>
    <w:rsid w:val="48230CEB"/>
    <w:rsid w:val="48757D08"/>
    <w:rsid w:val="490B241B"/>
    <w:rsid w:val="492B36C1"/>
    <w:rsid w:val="495E7D38"/>
    <w:rsid w:val="4A1277D9"/>
    <w:rsid w:val="4A914BA1"/>
    <w:rsid w:val="4B315A3D"/>
    <w:rsid w:val="4BAC590E"/>
    <w:rsid w:val="4BB5666E"/>
    <w:rsid w:val="4C1930A0"/>
    <w:rsid w:val="4C567D06"/>
    <w:rsid w:val="4C912C37"/>
    <w:rsid w:val="4CC4300C"/>
    <w:rsid w:val="4DD23507"/>
    <w:rsid w:val="4E871EBA"/>
    <w:rsid w:val="4EAD5D22"/>
    <w:rsid w:val="4F29184C"/>
    <w:rsid w:val="4FE13ED5"/>
    <w:rsid w:val="4FF57980"/>
    <w:rsid w:val="50A218B6"/>
    <w:rsid w:val="50D61560"/>
    <w:rsid w:val="511B5244"/>
    <w:rsid w:val="51284CAF"/>
    <w:rsid w:val="512C5624"/>
    <w:rsid w:val="519D030C"/>
    <w:rsid w:val="52483D98"/>
    <w:rsid w:val="52B256B5"/>
    <w:rsid w:val="535A6478"/>
    <w:rsid w:val="536F7A4A"/>
    <w:rsid w:val="537A08C9"/>
    <w:rsid w:val="541D0E7A"/>
    <w:rsid w:val="546450D5"/>
    <w:rsid w:val="54AB6860"/>
    <w:rsid w:val="55BF108B"/>
    <w:rsid w:val="564E7DEA"/>
    <w:rsid w:val="5661367A"/>
    <w:rsid w:val="56B53276"/>
    <w:rsid w:val="56CA56C3"/>
    <w:rsid w:val="56F95FF6"/>
    <w:rsid w:val="57154464"/>
    <w:rsid w:val="5748483A"/>
    <w:rsid w:val="57623B4D"/>
    <w:rsid w:val="57B7551B"/>
    <w:rsid w:val="57C57C38"/>
    <w:rsid w:val="58733202"/>
    <w:rsid w:val="58C83E84"/>
    <w:rsid w:val="59513E7A"/>
    <w:rsid w:val="59995821"/>
    <w:rsid w:val="5A247299"/>
    <w:rsid w:val="5B7E082A"/>
    <w:rsid w:val="5B8A3673"/>
    <w:rsid w:val="5C3A6E47"/>
    <w:rsid w:val="5CB5471F"/>
    <w:rsid w:val="5D731EE5"/>
    <w:rsid w:val="5DF23751"/>
    <w:rsid w:val="5E40270F"/>
    <w:rsid w:val="5E4915C3"/>
    <w:rsid w:val="5EB56C59"/>
    <w:rsid w:val="5F4E67B3"/>
    <w:rsid w:val="5F710167"/>
    <w:rsid w:val="5FAF18FA"/>
    <w:rsid w:val="5FEB66AA"/>
    <w:rsid w:val="602D281F"/>
    <w:rsid w:val="603911C4"/>
    <w:rsid w:val="60E81AD2"/>
    <w:rsid w:val="628A03FC"/>
    <w:rsid w:val="628C1A7E"/>
    <w:rsid w:val="628D57F7"/>
    <w:rsid w:val="6299063F"/>
    <w:rsid w:val="62C27B96"/>
    <w:rsid w:val="62C31218"/>
    <w:rsid w:val="63275C4B"/>
    <w:rsid w:val="63F0603D"/>
    <w:rsid w:val="64175CC0"/>
    <w:rsid w:val="643343C1"/>
    <w:rsid w:val="64AD03D2"/>
    <w:rsid w:val="64D37E39"/>
    <w:rsid w:val="65184E2E"/>
    <w:rsid w:val="66055472"/>
    <w:rsid w:val="66967370"/>
    <w:rsid w:val="66B75538"/>
    <w:rsid w:val="66E71979"/>
    <w:rsid w:val="678278F4"/>
    <w:rsid w:val="68126ECA"/>
    <w:rsid w:val="681F15E7"/>
    <w:rsid w:val="68306194"/>
    <w:rsid w:val="68692862"/>
    <w:rsid w:val="6881195A"/>
    <w:rsid w:val="68F44821"/>
    <w:rsid w:val="694E3F32"/>
    <w:rsid w:val="695D23C7"/>
    <w:rsid w:val="69690D6B"/>
    <w:rsid w:val="69A91168"/>
    <w:rsid w:val="6A457F69"/>
    <w:rsid w:val="6B403D4E"/>
    <w:rsid w:val="6B7A7AE3"/>
    <w:rsid w:val="6B8F0831"/>
    <w:rsid w:val="6B985938"/>
    <w:rsid w:val="6BDB75D3"/>
    <w:rsid w:val="6C4057E3"/>
    <w:rsid w:val="6C832144"/>
    <w:rsid w:val="6CAD4EF8"/>
    <w:rsid w:val="6D392803"/>
    <w:rsid w:val="6D4C69DA"/>
    <w:rsid w:val="6DFF3A4C"/>
    <w:rsid w:val="6E7D2BFA"/>
    <w:rsid w:val="6E9817AB"/>
    <w:rsid w:val="6EFA2466"/>
    <w:rsid w:val="6F12155D"/>
    <w:rsid w:val="6FC34785"/>
    <w:rsid w:val="70AE52B6"/>
    <w:rsid w:val="71080E6A"/>
    <w:rsid w:val="71526589"/>
    <w:rsid w:val="715C7408"/>
    <w:rsid w:val="71FE401B"/>
    <w:rsid w:val="73C3376E"/>
    <w:rsid w:val="73E21E46"/>
    <w:rsid w:val="7450709A"/>
    <w:rsid w:val="74614A9D"/>
    <w:rsid w:val="748922C2"/>
    <w:rsid w:val="749E5641"/>
    <w:rsid w:val="74FE028A"/>
    <w:rsid w:val="75385A96"/>
    <w:rsid w:val="75750A98"/>
    <w:rsid w:val="75B72E5F"/>
    <w:rsid w:val="75EE4341"/>
    <w:rsid w:val="76236746"/>
    <w:rsid w:val="767F1059"/>
    <w:rsid w:val="76803089"/>
    <w:rsid w:val="76AF1D88"/>
    <w:rsid w:val="76BB697E"/>
    <w:rsid w:val="76C375E1"/>
    <w:rsid w:val="772B4D77"/>
    <w:rsid w:val="77660698"/>
    <w:rsid w:val="776A580E"/>
    <w:rsid w:val="77822FF8"/>
    <w:rsid w:val="779F3BAA"/>
    <w:rsid w:val="782C1E65"/>
    <w:rsid w:val="78AF2513"/>
    <w:rsid w:val="7937690F"/>
    <w:rsid w:val="7994349E"/>
    <w:rsid w:val="79AB2CDA"/>
    <w:rsid w:val="79C21DD2"/>
    <w:rsid w:val="7A1268B5"/>
    <w:rsid w:val="7AB20098"/>
    <w:rsid w:val="7B18069B"/>
    <w:rsid w:val="7B2E3BC3"/>
    <w:rsid w:val="7BF4502A"/>
    <w:rsid w:val="7C084414"/>
    <w:rsid w:val="7C3F3BAE"/>
    <w:rsid w:val="7C99604F"/>
    <w:rsid w:val="7CB64C17"/>
    <w:rsid w:val="7D0C6110"/>
    <w:rsid w:val="7D341239"/>
    <w:rsid w:val="7D4C6582"/>
    <w:rsid w:val="7DA912DF"/>
    <w:rsid w:val="7E665422"/>
    <w:rsid w:val="7EA06B86"/>
    <w:rsid w:val="7EE46C6E"/>
    <w:rsid w:val="7FC95C68"/>
    <w:rsid w:val="7FCE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heme="minorBidi"/>
      <w:kern w:val="2"/>
      <w:sz w:val="32"/>
      <w:szCs w:val="22"/>
      <w:lang w:val="en-US" w:eastAsia="zh-CN" w:bidi="ar-SA"/>
    </w:rPr>
  </w:style>
  <w:style w:type="paragraph" w:styleId="4">
    <w:name w:val="heading 1"/>
    <w:basedOn w:val="1"/>
    <w:next w:val="1"/>
    <w:autoRedefine/>
    <w:qFormat/>
    <w:uiPriority w:val="9"/>
    <w:pPr>
      <w:keepNext/>
      <w:keepLines/>
      <w:spacing w:before="240" w:after="240"/>
      <w:ind w:firstLine="0" w:firstLineChars="0"/>
      <w:jc w:val="center"/>
      <w:outlineLvl w:val="0"/>
    </w:pPr>
    <w:rPr>
      <w:rFonts w:eastAsia="黑体"/>
      <w:b/>
      <w:color w:val="000000" w:themeColor="text1"/>
      <w:sz w:val="36"/>
      <w:szCs w:val="40"/>
      <w14:textFill>
        <w14:solidFill>
          <w14:schemeClr w14:val="tx1"/>
        </w14:solidFill>
      </w14:textFill>
    </w:rPr>
  </w:style>
  <w:style w:type="paragraph" w:styleId="5">
    <w:name w:val="heading 2"/>
    <w:basedOn w:val="1"/>
    <w:next w:val="1"/>
    <w:autoRedefine/>
    <w:unhideWhenUsed/>
    <w:qFormat/>
    <w:uiPriority w:val="9"/>
    <w:pPr>
      <w:keepNext/>
      <w:keepLines/>
      <w:spacing w:before="156" w:beforeLines="50" w:after="156" w:afterLines="50"/>
      <w:ind w:firstLine="643" w:firstLineChars="0"/>
      <w:outlineLvl w:val="1"/>
    </w:pPr>
    <w:rPr>
      <w:rFonts w:eastAsia="宋体"/>
      <w:b/>
      <w:color w:val="000000" w:themeColor="text1"/>
      <w:szCs w:val="32"/>
      <w14:textFill>
        <w14:solidFill>
          <w14:schemeClr w14:val="tx1"/>
        </w14:solidFill>
      </w14:textFill>
    </w:rPr>
  </w:style>
  <w:style w:type="paragraph" w:styleId="6">
    <w:name w:val="heading 3"/>
    <w:basedOn w:val="1"/>
    <w:next w:val="1"/>
    <w:autoRedefine/>
    <w:unhideWhenUsed/>
    <w:qFormat/>
    <w:uiPriority w:val="9"/>
    <w:pPr>
      <w:keepNext/>
      <w:keepLines/>
      <w:spacing w:after="50" w:afterLines="50" w:line="560" w:lineRule="exact"/>
      <w:outlineLvl w:val="2"/>
    </w:pPr>
    <w:rPr>
      <w:rFonts w:eastAsia="宋体"/>
      <w:b/>
      <w:bCs/>
      <w:szCs w:val="32"/>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ind w:firstLine="721"/>
    </w:pPr>
    <w:rPr>
      <w:szCs w:val="24"/>
    </w:rPr>
  </w:style>
  <w:style w:type="paragraph" w:styleId="3">
    <w:name w:val="Body Text 2"/>
    <w:basedOn w:val="1"/>
    <w:autoRedefine/>
    <w:unhideWhenUsed/>
    <w:qFormat/>
    <w:uiPriority w:val="99"/>
    <w:pPr>
      <w:spacing w:after="120" w:line="480" w:lineRule="auto"/>
    </w:p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8">
    <w:name w:val="index 5"/>
    <w:basedOn w:val="1"/>
    <w:next w:val="1"/>
    <w:autoRedefine/>
    <w:unhideWhenUsed/>
    <w:qFormat/>
    <w:uiPriority w:val="99"/>
    <w:pPr>
      <w:jc w:val="left"/>
    </w:pPr>
    <w:rPr>
      <w:rFonts w:ascii="仿宋_GB2312" w:eastAsia="仿宋_GB2312"/>
      <w:b/>
      <w:szCs w:val="32"/>
    </w:rPr>
  </w:style>
  <w:style w:type="paragraph" w:styleId="9">
    <w:name w:val="Body Text Indent"/>
    <w:basedOn w:val="1"/>
    <w:next w:val="8"/>
    <w:autoRedefine/>
    <w:unhideWhenUsed/>
    <w:qFormat/>
    <w:uiPriority w:val="99"/>
    <w:pPr>
      <w:spacing w:after="120"/>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Theme="majorHAnsi" w:hAnsiTheme="majorHAnsi" w:eastAsiaTheme="majorEastAsia" w:cstheme="majorBidi"/>
      <w:b/>
      <w:bCs/>
      <w:szCs w:val="32"/>
    </w:rPr>
  </w:style>
  <w:style w:type="paragraph" w:styleId="16">
    <w:name w:val="Body Text First Indent 2"/>
    <w:basedOn w:val="9"/>
    <w:next w:val="1"/>
    <w:autoRedefine/>
    <w:unhideWhenUsed/>
    <w:qFormat/>
    <w:uiPriority w:val="99"/>
    <w:pPr>
      <w:ind w:firstLine="420"/>
    </w:pPr>
  </w:style>
  <w:style w:type="character" w:styleId="19">
    <w:name w:val="Strong"/>
    <w:basedOn w:val="18"/>
    <w:autoRedefine/>
    <w:qFormat/>
    <w:uiPriority w:val="0"/>
    <w:rPr>
      <w:b/>
    </w:rPr>
  </w:style>
  <w:style w:type="paragraph" w:customStyle="1" w:styleId="20">
    <w:name w:val="正文-公1"/>
    <w:basedOn w:val="1"/>
    <w:autoRedefine/>
    <w:qFormat/>
    <w:uiPriority w:val="0"/>
    <w:pPr>
      <w:spacing w:line="240" w:lineRule="auto"/>
      <w:jc w:val="left"/>
    </w:pPr>
    <w:rPr>
      <w:rFonts w:eastAsia="仿宋_GB2312" w:asciiTheme="minorHAnsi"/>
      <w:sz w:val="21"/>
    </w:rPr>
  </w:style>
  <w:style w:type="character" w:customStyle="1" w:styleId="21">
    <w:name w:val="font21"/>
    <w:basedOn w:val="18"/>
    <w:autoRedefine/>
    <w:qFormat/>
    <w:uiPriority w:val="0"/>
    <w:rPr>
      <w:rFonts w:hint="default" w:ascii="Times New Roman" w:hAnsi="Times New Roman" w:cs="Times New Roman"/>
      <w:color w:val="000000"/>
      <w:sz w:val="20"/>
      <w:szCs w:val="20"/>
      <w:u w:val="none"/>
    </w:rPr>
  </w:style>
  <w:style w:type="character" w:customStyle="1" w:styleId="22">
    <w:name w:val="font61"/>
    <w:basedOn w:val="18"/>
    <w:autoRedefine/>
    <w:qFormat/>
    <w:uiPriority w:val="0"/>
    <w:rPr>
      <w:rFonts w:hint="eastAsia" w:ascii="宋体" w:hAnsi="宋体" w:eastAsia="宋体" w:cs="宋体"/>
      <w:color w:val="000000"/>
      <w:sz w:val="20"/>
      <w:szCs w:val="20"/>
      <w:u w:val="none"/>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character" w:customStyle="1" w:styleId="25">
    <w:name w:val="font41"/>
    <w:basedOn w:val="18"/>
    <w:autoRedefine/>
    <w:qFormat/>
    <w:uiPriority w:val="0"/>
    <w:rPr>
      <w:rFonts w:hint="eastAsia" w:ascii="宋体" w:hAnsi="宋体" w:eastAsia="宋体" w:cs="宋体"/>
      <w:color w:val="000000"/>
      <w:sz w:val="20"/>
      <w:szCs w:val="20"/>
      <w:u w:val="none"/>
    </w:rPr>
  </w:style>
  <w:style w:type="character" w:customStyle="1" w:styleId="26">
    <w:name w:val="font121"/>
    <w:basedOn w:val="18"/>
    <w:autoRedefine/>
    <w:qFormat/>
    <w:uiPriority w:val="0"/>
    <w:rPr>
      <w:rFonts w:hint="default" w:ascii="Times New Roman" w:hAnsi="Times New Roman" w:cs="Times New Roman"/>
      <w:color w:val="000000"/>
      <w:sz w:val="20"/>
      <w:szCs w:val="20"/>
      <w:u w:val="none"/>
    </w:rPr>
  </w:style>
  <w:style w:type="character" w:customStyle="1" w:styleId="27">
    <w:name w:val="font71"/>
    <w:basedOn w:val="18"/>
    <w:autoRedefine/>
    <w:qFormat/>
    <w:uiPriority w:val="0"/>
    <w:rPr>
      <w:rFonts w:hint="eastAsia" w:ascii="宋体" w:hAnsi="宋体" w:eastAsia="宋体" w:cs="宋体"/>
      <w:color w:val="000000"/>
      <w:sz w:val="20"/>
      <w:szCs w:val="20"/>
      <w:u w:val="none"/>
    </w:rPr>
  </w:style>
  <w:style w:type="character" w:customStyle="1" w:styleId="28">
    <w:name w:val="font101"/>
    <w:basedOn w:val="18"/>
    <w:qFormat/>
    <w:uiPriority w:val="0"/>
    <w:rPr>
      <w:rFonts w:hint="default" w:ascii="Times New Roman" w:hAnsi="Times New Roman" w:cs="Times New Roman"/>
      <w:color w:val="000000"/>
      <w:sz w:val="20"/>
      <w:szCs w:val="20"/>
      <w:u w:val="none"/>
    </w:rPr>
  </w:style>
  <w:style w:type="character" w:customStyle="1" w:styleId="29">
    <w:name w:val="font51"/>
    <w:basedOn w:val="18"/>
    <w:qFormat/>
    <w:uiPriority w:val="0"/>
    <w:rPr>
      <w:rFonts w:hint="default" w:ascii="Times New Roman" w:hAnsi="Times New Roman" w:cs="Times New Roman"/>
      <w:color w:val="000000"/>
      <w:sz w:val="20"/>
      <w:szCs w:val="20"/>
      <w:u w:val="none"/>
    </w:rPr>
  </w:style>
  <w:style w:type="character" w:customStyle="1" w:styleId="30">
    <w:name w:val="font81"/>
    <w:basedOn w:val="1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10962</Words>
  <Characters>11544</Characters>
  <Lines>0</Lines>
  <Paragraphs>0</Paragraphs>
  <TotalTime>43</TotalTime>
  <ScaleCrop>false</ScaleCrop>
  <LinksUpToDate>false</LinksUpToDate>
  <CharactersWithSpaces>11631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2024-03-14T07:14:00Z</dcterms:created>
  <dc:creator>工作号</dc:creator>
  <cp:lastModifiedBy>工作号</cp:lastModifiedBy>
  <dcterms:modified xsi:type="dcterms:W3CDTF">2024-06-07T06:31:28Z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0E69F375BCDC4D9FB3530191ED3355C7_11</vt:lpwstr>
  </property>
</Properties>
</file>