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F0E0A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0AEEA37D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090041D0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8"/>
          <w:highlight w:val="none"/>
        </w:rPr>
        <w:t>德惠市国土空间总体规划（2021—2035年）</w:t>
      </w:r>
    </w:p>
    <w:p w14:paraId="14610639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8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8"/>
          <w:highlight w:val="none"/>
          <w:lang w:val="en-US" w:eastAsia="zh-CN"/>
        </w:rPr>
        <w:t>2026年动态维护方案</w:t>
      </w:r>
    </w:p>
    <w:p w14:paraId="50C5E005">
      <w:pPr>
        <w:keepNext w:val="0"/>
        <w:keepLines w:val="0"/>
        <w:widowControl/>
        <w:suppressLineNumbers w:val="0"/>
        <w:jc w:val="center"/>
      </w:pPr>
      <w:r>
        <w:rPr>
          <w:rFonts w:ascii="方正小标宋_GBK" w:hAnsi="方正小标宋_GBK" w:eastAsia="方正小标宋_GBK" w:cs="方正小标宋_GBK"/>
          <w:color w:val="000000"/>
          <w:kern w:val="0"/>
          <w:sz w:val="24"/>
          <w:szCs w:val="24"/>
          <w:lang w:val="en-US" w:eastAsia="zh-CN" w:bidi="ar"/>
        </w:rPr>
        <w:t>（公示稿）</w:t>
      </w:r>
    </w:p>
    <w:p w14:paraId="25F02339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7D7302EC">
      <w:pPr>
        <w:spacing w:line="360" w:lineRule="auto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515F0BB7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17095554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205A571F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7963664C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45A895CF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6700B45D">
      <w:pPr>
        <w:spacing w:line="360" w:lineRule="auto"/>
        <w:jc w:val="center"/>
        <w:rPr>
          <w:rFonts w:ascii="仿宋_GB2312方正小标宋_GBK" w:hAnsi="仿宋_GB2312方正小标宋_GBK" w:eastAsia="仿宋_GB2312方正小标宋_GBK" w:cs="仿宋_GB2312方正小标宋_GBK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方正小标宋_GBK" w:hAnsi="仿宋_GB2312方正小标宋_GBK" w:eastAsia="仿宋_GB2312方正小标宋_GBK" w:cs="仿宋_GB2312方正小标宋_GBK"/>
          <w:color w:val="auto"/>
          <w:kern w:val="2"/>
          <w:sz w:val="32"/>
          <w:szCs w:val="32"/>
          <w:highlight w:val="none"/>
        </w:rPr>
        <w:t>德惠市自然资源局</w:t>
      </w:r>
    </w:p>
    <w:p w14:paraId="14F8C925">
      <w:pPr>
        <w:spacing w:line="360" w:lineRule="auto"/>
        <w:jc w:val="center"/>
        <w:rPr>
          <w:rFonts w:ascii="仿宋_GB2312方正小标宋_GBK" w:hAnsi="仿宋_GB2312方正小标宋_GBK" w:eastAsia="仿宋_GB2312方正小标宋_GBK" w:cs="仿宋_GB2312方正小标宋_GBK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方正小标宋_GBK" w:hAnsi="仿宋_GB2312方正小标宋_GBK" w:eastAsia="仿宋_GB2312方正小标宋_GBK" w:cs="仿宋_GB2312方正小标宋_GBK"/>
          <w:color w:val="auto"/>
          <w:kern w:val="2"/>
          <w:sz w:val="32"/>
          <w:szCs w:val="32"/>
          <w:highlight w:val="none"/>
        </w:rPr>
        <w:t>2026年</w:t>
      </w:r>
      <w:r>
        <w:rPr>
          <w:rFonts w:hint="eastAsia" w:ascii="仿宋_GB2312方正小标宋_GBK" w:hAnsi="仿宋_GB2312方正小标宋_GBK" w:eastAsia="仿宋_GB2312方正小标宋_GBK" w:cs="仿宋_GB2312方正小标宋_GBK"/>
          <w:color w:val="auto"/>
          <w:kern w:val="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方正小标宋_GBK" w:hAnsi="仿宋_GB2312方正小标宋_GBK" w:eastAsia="仿宋_GB2312方正小标宋_GBK" w:cs="仿宋_GB2312方正小标宋_GBK"/>
          <w:color w:val="auto"/>
          <w:kern w:val="2"/>
          <w:sz w:val="32"/>
          <w:szCs w:val="32"/>
          <w:highlight w:val="none"/>
        </w:rPr>
        <w:t>月</w:t>
      </w:r>
    </w:p>
    <w:p w14:paraId="4B2DC7BF">
      <w:pPr>
        <w:spacing w:line="360" w:lineRule="auto"/>
        <w:jc w:val="center"/>
        <w:rPr>
          <w:rFonts w:ascii="仿宋_GB2312方正小标宋_GBK" w:hAnsi="仿宋_GB2312方正小标宋_GBK" w:eastAsia="仿宋_GB2312方正小标宋_GBK" w:cs="仿宋_GB2312方正小标宋_GBK"/>
          <w:color w:val="auto"/>
          <w:kern w:val="2"/>
          <w:sz w:val="32"/>
          <w:szCs w:val="32"/>
          <w:highlight w:val="none"/>
        </w:rPr>
      </w:pPr>
    </w:p>
    <w:p w14:paraId="36924941">
      <w:pPr>
        <w:spacing w:line="360" w:lineRule="auto"/>
        <w:jc w:val="center"/>
        <w:rPr>
          <w:rFonts w:ascii="仿宋_GB2312方正小标宋_GBK" w:hAnsi="仿宋_GB2312方正小标宋_GBK" w:eastAsia="仿宋_GB2312方正小标宋_GBK" w:cs="仿宋_GB2312方正小标宋_GBK"/>
          <w:color w:val="auto"/>
          <w:kern w:val="2"/>
          <w:sz w:val="32"/>
          <w:szCs w:val="32"/>
          <w:highlight w:val="none"/>
        </w:rPr>
      </w:pPr>
    </w:p>
    <w:p w14:paraId="7069BBF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Times New Roman"/>
          <w:b/>
          <w:bCs/>
          <w:snapToGrid w:val="0"/>
          <w:color w:val="auto"/>
          <w:spacing w:val="8"/>
          <w:sz w:val="30"/>
          <w:szCs w:val="30"/>
          <w:highlight w:val="none"/>
        </w:rPr>
        <w:sectPr>
          <w:footerReference r:id="rId3" w:type="default"/>
          <w:pgSz w:w="11905" w:h="16840"/>
          <w:pgMar w:top="1440" w:right="1800" w:bottom="1440" w:left="1800" w:header="720" w:footer="720" w:gutter="0"/>
          <w:cols w:space="720" w:num="1"/>
        </w:sectPr>
      </w:pPr>
    </w:p>
    <w:p w14:paraId="31C915BA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 w:cs="Times New Roman"/>
          <w:b/>
          <w:bCs/>
          <w:snapToGrid w:val="0"/>
          <w:color w:val="auto"/>
          <w:spacing w:val="8"/>
          <w:sz w:val="30"/>
          <w:szCs w:val="30"/>
          <w:highlight w:val="none"/>
        </w:rPr>
      </w:pPr>
    </w:p>
    <w:sdt>
      <w:sdtPr>
        <w:rPr>
          <w:rFonts w:hint="eastAsia" w:ascii="黑体" w:hAnsi="黑体" w:eastAsia="黑体" w:cs="Times New Roman"/>
          <w:b/>
          <w:bCs/>
          <w:snapToGrid w:val="0"/>
          <w:color w:val="auto"/>
          <w:spacing w:val="8"/>
          <w:sz w:val="30"/>
          <w:szCs w:val="30"/>
          <w:highlight w:val="none"/>
        </w:rPr>
        <w:id w:val="147479396"/>
        <w15:color w:val="DBDBDB"/>
        <w:docPartObj>
          <w:docPartGallery w:val="Table of Contents"/>
          <w:docPartUnique/>
        </w:docPartObj>
      </w:sdtPr>
      <w:sdtEndP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8"/>
          <w:sz w:val="30"/>
          <w:szCs w:val="30"/>
          <w:highlight w:val="none"/>
        </w:rPr>
      </w:sdtEndPr>
      <w:sdtContent>
        <w:p w14:paraId="07E8D178">
          <w:pPr>
            <w:widowControl/>
            <w:kinsoku w:val="0"/>
            <w:autoSpaceDE w:val="0"/>
            <w:autoSpaceDN w:val="0"/>
            <w:adjustRightInd w:val="0"/>
            <w:snapToGrid w:val="0"/>
            <w:spacing w:line="360" w:lineRule="auto"/>
            <w:jc w:val="center"/>
            <w:textAlignment w:val="baseline"/>
            <w:rPr>
              <w:rFonts w:hint="eastAsia" w:ascii="黑体" w:hAnsi="黑体" w:eastAsia="黑体" w:cs="Times New Roman"/>
              <w:b/>
              <w:bCs/>
              <w:snapToGrid w:val="0"/>
              <w:color w:val="auto"/>
              <w:spacing w:val="8"/>
              <w:sz w:val="30"/>
              <w:szCs w:val="30"/>
              <w:highlight w:val="none"/>
            </w:rPr>
          </w:pPr>
          <w:r>
            <w:rPr>
              <w:rFonts w:hint="eastAsia" w:ascii="黑体" w:hAnsi="黑体" w:eastAsia="黑体" w:cs="Times New Roman"/>
              <w:b/>
              <w:bCs/>
              <w:snapToGrid w:val="0"/>
              <w:color w:val="auto"/>
              <w:spacing w:val="8"/>
              <w:sz w:val="30"/>
              <w:szCs w:val="30"/>
              <w:highlight w:val="none"/>
            </w:rPr>
            <w:t>目录</w:t>
          </w:r>
        </w:p>
        <w:p w14:paraId="1F3C8B1E">
          <w:pPr>
            <w:pStyle w:val="9"/>
            <w:tabs>
              <w:tab w:val="right" w:leader="dot" w:pos="8305"/>
            </w:tabs>
            <w:spacing w:line="360" w:lineRule="auto"/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TOC \o "1-2" \h \u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instrText xml:space="preserve"> HYPERLINK \l _Toc3329 </w:instrTex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>一、 总则</w: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ab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instrText xml:space="preserve"> PAGEREF _Toc3329 \h </w:instrTex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>2</w: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end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end"/>
          </w:r>
        </w:p>
        <w:p w14:paraId="6A5D6A36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HYPERLINK \l _Toc28298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>（一）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工作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>背景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PAGEREF _Toc28298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>2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</w:p>
        <w:p w14:paraId="76BDD749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HYPERLINK \l _Toc31717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（二）编制目的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PAGEREF _Toc31717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>3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</w:p>
        <w:p w14:paraId="72E3C03F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HYPERLINK \l _Toc930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（三）编制依据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PAGEREF _Toc930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>4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</w:p>
        <w:p w14:paraId="4556E8B4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HYPERLINK \l _Toc19438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（四）规划概况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PAGEREF _Toc19438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>5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</w:p>
        <w:p w14:paraId="12F90D5E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HYPERLINK \l _Toc18353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（五）编制范围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PAGEREF _Toc18353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>5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</w:p>
        <w:p w14:paraId="1434CA72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HYPERLINK \l _Toc15587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（六）编制原则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instrText xml:space="preserve"> PAGEREF _Toc15587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t>5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</w:p>
        <w:p w14:paraId="77FBD501">
          <w:pPr>
            <w:pStyle w:val="9"/>
            <w:tabs>
              <w:tab w:val="right" w:leader="dot" w:pos="8305"/>
            </w:tabs>
            <w:spacing w:line="360" w:lineRule="auto"/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</w:pP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instrText xml:space="preserve"> HYPERLINK \l _Toc12427 </w:instrTex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>二、 动态维护方案</w: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ab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instrText xml:space="preserve"> PAGEREF _Toc12427 \h </w:instrTex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>7</w: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end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end"/>
          </w:r>
        </w:p>
        <w:p w14:paraId="1B5A0D9B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instrText xml:space="preserve"> HYPERLINK \l _Toc30153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（一）空间管控边界维护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instrText xml:space="preserve"> PAGEREF _Toc30153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7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end"/>
          </w:r>
        </w:p>
        <w:p w14:paraId="6C3A1514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instrText xml:space="preserve"> HYPERLINK \l _Toc14234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（二）规划分区维护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instrText xml:space="preserve"> PAGEREF _Toc14234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8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end"/>
          </w:r>
        </w:p>
        <w:p w14:paraId="78D632B9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instrText xml:space="preserve"> HYPERLINK \l _Toc9973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（三）中心城区用地规划布局维护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instrText xml:space="preserve"> PAGEREF _Toc9973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9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end"/>
          </w:r>
        </w:p>
        <w:p w14:paraId="359D6E60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5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32" w:firstLineChars="200"/>
            <w:textAlignment w:val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instrText xml:space="preserve"> HYPERLINK \l _Toc15916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（四）重点建设项目清单维护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ab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instrText xml:space="preserve"> PAGEREF _Toc15916 \h </w:instrTex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t>9</w:t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/>
            </w:rPr>
            <w:fldChar w:fldCharType="end"/>
          </w:r>
        </w:p>
        <w:p w14:paraId="0ACD2C27">
          <w:pPr>
            <w:pStyle w:val="9"/>
            <w:tabs>
              <w:tab w:val="right" w:leader="dot" w:pos="8305"/>
            </w:tabs>
            <w:spacing w:line="360" w:lineRule="auto"/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</w:pP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instrText xml:space="preserve"> HYPERLINK \l _Toc32159 </w:instrTex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>三、 实施保障</w: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ab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instrText xml:space="preserve"> PAGEREF _Toc32159 \h </w:instrTex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>10</w: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end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end"/>
          </w:r>
        </w:p>
        <w:p w14:paraId="399904AC">
          <w:pPr>
            <w:pStyle w:val="9"/>
            <w:tabs>
              <w:tab w:val="right" w:leader="dot" w:pos="8305"/>
            </w:tabs>
            <w:spacing w:line="360" w:lineRule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</w:pP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instrText xml:space="preserve"> HYPERLINK \l _Toc20785 </w:instrTex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>附图</w: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ab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begin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instrText xml:space="preserve"> PAGEREF _Toc20785 \h </w:instrTex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t>12</w:t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end"/>
          </w:r>
          <w:r>
            <w:rPr>
              <w:rFonts w:hint="eastAsia" w:ascii="黑体" w:hAnsi="黑体" w:eastAsia="黑体" w:cs="黑体"/>
              <w:snapToGrid w:val="0"/>
              <w:color w:val="auto"/>
              <w:spacing w:val="8"/>
              <w:sz w:val="30"/>
              <w:szCs w:val="30"/>
              <w:highlight w:val="none"/>
              <w:lang w:val="en-US" w:eastAsia="zh-CN" w:bidi="ar-SA"/>
            </w:rPr>
            <w:fldChar w:fldCharType="end"/>
          </w:r>
        </w:p>
        <w:p w14:paraId="31BB36A4">
          <w:pPr>
            <w:pStyle w:val="9"/>
            <w:tabs>
              <w:tab w:val="right" w:leader="dot" w:pos="8305"/>
            </w:tabs>
            <w:spacing w:line="360" w:lineRule="auto"/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</w:pPr>
          <w:r>
            <w:rPr>
              <w:rFonts w:hint="eastAsia" w:ascii="仿宋_GB2312" w:hAnsi="仿宋_GB2312" w:eastAsia="仿宋_GB2312" w:cs="仿宋_GB2312"/>
              <w:snapToGrid w:val="0"/>
              <w:color w:val="auto"/>
              <w:spacing w:val="8"/>
              <w:sz w:val="30"/>
              <w:szCs w:val="30"/>
              <w:highlight w:val="none"/>
            </w:rPr>
            <w:fldChar w:fldCharType="end"/>
          </w:r>
        </w:p>
      </w:sdtContent>
    </w:sdt>
    <w:p w14:paraId="3AE247E7">
      <w:pPr>
        <w:pStyle w:val="9"/>
        <w:tabs>
          <w:tab w:val="right" w:leader="dot" w:pos="8305"/>
        </w:tabs>
        <w:spacing w:line="360" w:lineRule="auto"/>
        <w:rPr>
          <w:rFonts w:hint="eastAsia" w:ascii="仿宋_GB2312" w:hAnsi="仿宋_GB2312" w:eastAsia="仿宋_GB2312" w:cs="仿宋_GB2312"/>
          <w:snapToGrid w:val="0"/>
          <w:color w:val="auto"/>
          <w:spacing w:val="8"/>
          <w:sz w:val="30"/>
          <w:szCs w:val="30"/>
          <w:highlight w:val="none"/>
        </w:rPr>
      </w:pPr>
    </w:p>
    <w:p w14:paraId="5B6A8BB8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2605EF2A">
      <w:pPr>
        <w:spacing w:line="360" w:lineRule="auto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006A6D6D">
      <w:pPr>
        <w:spacing w:line="560" w:lineRule="exact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6B880A0B">
      <w:pPr>
        <w:spacing w:line="560" w:lineRule="exact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52"/>
          <w:highlight w:val="none"/>
        </w:rPr>
      </w:pPr>
    </w:p>
    <w:p w14:paraId="4BF6EA90">
      <w:pPr>
        <w:widowControl/>
        <w:numPr>
          <w:ilvl w:val="0"/>
          <w:numId w:val="1"/>
        </w:numPr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0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</w:rPr>
      </w:pPr>
      <w:bookmarkStart w:id="0" w:name="heading_1"/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总则</w:t>
      </w:r>
    </w:p>
    <w:p w14:paraId="1E1BCB47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</w:rPr>
      </w:pPr>
      <w:bookmarkStart w:id="1" w:name="_Toc28298"/>
      <w:r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</w:rPr>
        <w:t>（一）</w:t>
      </w:r>
      <w:r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</w:rPr>
        <w:t>背景</w:t>
      </w:r>
      <w:bookmarkEnd w:id="1"/>
    </w:p>
    <w:p w14:paraId="78F9A76D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为深入贯彻落实党的二十届四中全会精神，对标国家、省、市“十五五”规划建设部署，严格落实各级自然资源工作要求及要素保障相关政策，紧扣中央、吉林省“十五五”规划建议核心精神，依据国土空间总体规划动态维护政策口径及《吉林省国土空间总体规划动态调整完善工作方案》（吉自然资办发〔2026〕7号）等技术文件。结合德惠市经济社会发展新形势与国土空间规划年度体检成果，为持续优化全域国土空间格局、保障重大项目落地、提升规划实施质效，充分发挥国土空间规划的引领支撑作用，特开展本次《德惠市国土空间总体规划（2021—2035年）》动态维护工作，编制本方案。</w:t>
      </w:r>
    </w:p>
    <w:p w14:paraId="235C396E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</w:pPr>
      <w:bookmarkStart w:id="2" w:name="_Toc31717"/>
      <w:r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（二）编制目的</w:t>
      </w:r>
      <w:bookmarkEnd w:id="0"/>
      <w:bookmarkEnd w:id="2"/>
    </w:p>
    <w:p w14:paraId="30A9C509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全面衔接省、市“十五五”发展规划，精准对接各领域重大项目及专项规划落地诉求，依托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/>
        </w:rPr>
        <w:t>国土空间规划“一张图”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统筹化解各类空间冲突，有序推进项目落图落地，持续优化国土空间布局与精细化管控模式，为重大政策落地、重点改革推进和重点项目实施筑牢空间保障。统筹优化生态保护红线、永久基本农田、城镇开发边界三条控制线，有效提升规划适配性与国土资源集约利用水平。结合国土空间规划体检评估成果，系统统筹解决规划实施中的空间矛盾问题，补齐基础设施与公共服务设施短板，持续提升城市安全韧性和人居宜居品质。持续夯实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/>
        </w:rPr>
        <w:t>国土空间规划“一张图”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数据底座，构建完善“规划编制－实施监测－评估反馈－动态维护”全周期管理机制，优化国土空间开发保护格局，全面提升国土空间治理体系和治理能力现代化水平，为德惠市建设哈长城市群重要节点城市、绿色食品产业示范区、循环经济发展先导区提供坚实的空间保障。</w:t>
      </w:r>
    </w:p>
    <w:p w14:paraId="5DEA3416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</w:pPr>
      <w:bookmarkStart w:id="3" w:name="_Toc930"/>
      <w:r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（三）编制依据</w:t>
      </w:r>
      <w:bookmarkEnd w:id="3"/>
    </w:p>
    <w:p w14:paraId="40C31094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《中华人民共和国土地管理法》（2019年修正）</w:t>
      </w:r>
    </w:p>
    <w:p w14:paraId="57C8A2B0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《中华人民共和国城乡规划法》（2019年修正）</w:t>
      </w:r>
    </w:p>
    <w:p w14:paraId="64ECD2C7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《中华人民共和国土地管理法实施条例》（2021年9月1日起施行）</w:t>
      </w:r>
    </w:p>
    <w:p w14:paraId="4E20209B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《吉林省土地管理条例》（2022年11月30日修订）</w:t>
      </w:r>
    </w:p>
    <w:p w14:paraId="43FD40B1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《永久基本农田保护红线管理办法》（2025年10月1日起试行）</w:t>
      </w:r>
    </w:p>
    <w:p w14:paraId="1D281A34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《自然资源部关于印发〈城镇开发边界管理办法（试行）〉的通知》（自然资规〔2026〕1号）</w:t>
      </w:r>
    </w:p>
    <w:p w14:paraId="4546E5A4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《国土空间调查、规划、用途管制用地用海分类指南》（自然资发〔2023〕234号）</w:t>
      </w:r>
    </w:p>
    <w:p w14:paraId="250688A2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《国土空间总体规划动态调整完善工作相关政策口径》</w:t>
      </w:r>
    </w:p>
    <w:p w14:paraId="0C8ED282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《吉林省自然资源厅关于印发〈吉林省国土空间总体规划动态调整完善工作方案〉的通知》（吉自然资办发〔2026〕7号）</w:t>
      </w:r>
    </w:p>
    <w:p w14:paraId="1FA9F92C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《吉林省人民政府办公厅关于印发〈吉林省生态保护红线监管办法（试行）〉的通知》（吉政办规〔2023〕2号）</w:t>
      </w:r>
    </w:p>
    <w:p w14:paraId="6570A590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《德惠市国土空间总体规划（2021—2035年）》</w:t>
      </w:r>
    </w:p>
    <w:p w14:paraId="22051AA9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《长春市德惠市国土空间总体规划2024年度实施体检报告》（2025年12月）</w:t>
      </w:r>
    </w:p>
    <w:p w14:paraId="2AD75421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《德惠市国民经济和社会发展第十五个五年规划纲要（草案）》</w:t>
      </w:r>
    </w:p>
    <w:p w14:paraId="765F7CA4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其他法律法规、政策文件和标准规范。</w:t>
      </w:r>
    </w:p>
    <w:p w14:paraId="037FFB39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</w:pPr>
      <w:bookmarkStart w:id="4" w:name="_Toc19438"/>
      <w:bookmarkStart w:id="5" w:name="heading_2"/>
      <w:r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（四）规划概况</w:t>
      </w:r>
      <w:bookmarkEnd w:id="4"/>
      <w:bookmarkEnd w:id="5"/>
    </w:p>
    <w:p w14:paraId="26F0817E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德惠市立足自身发展核心定位，构建“一核一带两轴三区”总体空间格局，明确三级城镇体系，科学划定“三区三线”，严守耕地、永久基本农田等约束性管控指标，统筹协调农业、生态、城镇三大空间布局。德惠市地处松嫩平原腹地，黑土地资源富集，是吉林省农业大市与国家重要商品粮生产基地，肩负着保障国家粮食安全、推进黑土地保护利用的重大政治责任，同时作为长春现代化都市圈重要卫星城市，以绿色食品精深加工、农产品仓储物流、循环经济为主导产业，兼具农业生产、产业集聚、生态涵养等多重功能，是县域城乡融合发展的重要示范区。</w:t>
      </w:r>
    </w:p>
    <w:p w14:paraId="2C2F7488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</w:pPr>
      <w:bookmarkStart w:id="6" w:name="_Toc18353"/>
      <w:r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（五）编制范围</w:t>
      </w:r>
      <w:bookmarkEnd w:id="6"/>
    </w:p>
    <w:p w14:paraId="62C2D9CE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本方案适用于《德惠市国土空间总体规划（2021—2035年）》实施期间德惠市全部行政辖区，覆盖国土空间动态监测、实施评估、规划调整、成果更新全流程工作，涵盖各类空间开发、保护、利用与修复管控相关内容。</w:t>
      </w:r>
    </w:p>
    <w:p w14:paraId="52C14F52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</w:pPr>
      <w:bookmarkStart w:id="7" w:name="heading_3"/>
      <w:bookmarkStart w:id="8" w:name="_Toc15587"/>
      <w:r>
        <w:rPr>
          <w:rFonts w:hint="eastAsia" w:ascii="Times New Roman" w:hAnsi="Times New Roman" w:eastAsia="楷体_GB2312" w:cs="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（六）编制原则</w:t>
      </w:r>
      <w:bookmarkEnd w:id="7"/>
      <w:bookmarkEnd w:id="8"/>
    </w:p>
    <w:p w14:paraId="6A17B7B0">
      <w:pPr>
        <w:widowControl/>
        <w:autoSpaceDE w:val="0"/>
        <w:autoSpaceDN w:val="0"/>
        <w:adjustRightInd w:val="0"/>
        <w:snapToGrid w:val="0"/>
        <w:spacing w:line="600" w:lineRule="exact"/>
        <w:ind w:firstLine="643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</w:rPr>
        <w:t>一是坚持刚性约束、弹性适配。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严格严守耕地和永久基本农田、生态保护红线、城镇开发边界三条控制线，坚决落实上位规划确定的各类核心约束性指标，牢牢守住国土空间开发保护底线，确保规划刚性约束不突破。同时立足德惠市经济社会发展实际，充分适配市域产业升级、重大项目落地、民生品质提升等现实发展需求，科学预留合理发展弹性空间，实现国土空间刚性管控与弹性适配的有机统一。</w:t>
      </w:r>
    </w:p>
    <w:p w14:paraId="2374D78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43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</w:rPr>
        <w:t>二是坚持问题导向、靶向优化。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以《德惠市国土空间总体规划（2021—2035年）》年度实施体检评估结果为重要依据，聚焦规划实施过程中的堵点、难点问题，精准梳理空间资源配置、项目落地保障等方面短板弱项，针对性制定规划优化调整措施，杜绝粗放调整、一刀切调整，精准破解规划落地难题，切实提升规划实施质效。</w:t>
      </w:r>
    </w:p>
    <w:p w14:paraId="79843A99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43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</w:rPr>
        <w:t>三是坚持上下衔接、协同联动。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全面对接国家、省、市“十五五”发展规划及各类专项规划，严格衔接长春市国土空间总体规划动态维护工作规则与技术要求，统筹整合发改、交通、水利、农业农村等各行业领域项目空间诉求，建立跨部门、跨层级协同联动工作机制，强化规划纵向传导、横向协同，凝聚规划实施与维护的工作合力。</w:t>
      </w:r>
    </w:p>
    <w:p w14:paraId="6262FE1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43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</w:rPr>
        <w:t>四是坚持依法依规、程序规范。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严格遵循国土空间规划相关法律法规、政策文件及技术标准，规范规划动态维护的现状核查、论证分析、公示听证、审议报批、备案入库等全流程工作，确保本次动态维护工作程序合法、过程公开、结果透明，充分保障公众知情权、参与权和监督权。</w:t>
      </w:r>
    </w:p>
    <w:p w14:paraId="281A620A">
      <w:pPr>
        <w:widowControl/>
        <w:autoSpaceDE w:val="0"/>
        <w:autoSpaceDN w:val="0"/>
        <w:adjustRightInd w:val="0"/>
        <w:snapToGrid w:val="0"/>
        <w:spacing w:line="600" w:lineRule="exact"/>
        <w:ind w:firstLine="643" w:firstLineChars="200"/>
        <w:textAlignment w:val="baseline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</w:rPr>
        <w:t>五是坚持数字赋能、科学支撑。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依托国土空间规划“一张图”实施监督信息系统，实现本次动态维护调整方案、图件、数据的标准化编制、审查、汇交与动态更新，以数字化、信息化手段提升规划维护的精准度与高效性，保障全市国土空间规划数、图、文、库一致性，夯实规划精细化、现代化治理支撑。</w:t>
      </w:r>
    </w:p>
    <w:p w14:paraId="04D98823">
      <w:pPr>
        <w:widowControl/>
        <w:numPr>
          <w:ilvl w:val="0"/>
          <w:numId w:val="1"/>
        </w:numPr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0"/>
        <w:rPr>
          <w:rFonts w:ascii="Times New Roman" w:hAnsi="Times New Roman" w:eastAsia="黑体" w:cs="Times New Roman"/>
          <w:color w:val="auto"/>
          <w:kern w:val="2"/>
          <w:sz w:val="32"/>
          <w:szCs w:val="32"/>
          <w:highlight w:val="none"/>
        </w:rPr>
      </w:pPr>
      <w:bookmarkStart w:id="9" w:name="_Toc12427"/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</w:rPr>
        <w:t>动态维护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/>
        </w:rPr>
        <w:t>方案</w:t>
      </w:r>
      <w:bookmarkEnd w:id="9"/>
    </w:p>
    <w:p w14:paraId="42516483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ascii="Times New Roman" w:hAnsi="Times New Roman" w:eastAsia="楷体_GB2312" w:cs="Times New Roman"/>
          <w:bCs/>
          <w:color w:val="auto"/>
          <w:sz w:val="32"/>
          <w:szCs w:val="32"/>
          <w:highlight w:val="none"/>
        </w:rPr>
      </w:pPr>
      <w:bookmarkStart w:id="10" w:name="_Toc30153"/>
      <w:r>
        <w:rPr>
          <w:rFonts w:ascii="Times New Roman" w:hAnsi="Times New Roman" w:eastAsia="楷体_GB2312" w:cs="Times New Roman"/>
          <w:bCs/>
          <w:color w:val="auto"/>
          <w:sz w:val="32"/>
          <w:szCs w:val="32"/>
          <w:highlight w:val="none"/>
        </w:rPr>
        <w:t>（一）空间管控边界维护</w:t>
      </w:r>
      <w:bookmarkEnd w:id="10"/>
    </w:p>
    <w:p w14:paraId="4A153161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本次动态维护涉及的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空间管控边界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调整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包含耕地和永久基本农田、城镇开发边界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、“城市四线”调整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31432F9C">
      <w:pPr>
        <w:spacing w:line="600" w:lineRule="exact"/>
        <w:ind w:firstLine="675" w:firstLineChars="200"/>
        <w:outlineLvl w:val="2"/>
        <w:rPr>
          <w:rFonts w:ascii="Times New Roman" w:hAnsi="Times New Roman" w:eastAsia="仿宋_GB2312" w:cs="Times New Roman"/>
          <w:b/>
          <w:bCs/>
          <w:color w:val="auto"/>
          <w:spacing w:val="8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kern w:val="2"/>
          <w:sz w:val="32"/>
          <w:szCs w:val="32"/>
          <w:highlight w:val="none"/>
        </w:rPr>
        <w:t>1.</w:t>
      </w:r>
      <w:bookmarkStart w:id="11" w:name="OLE_LINK13"/>
      <w:bookmarkStart w:id="12" w:name="OLE_LINK14"/>
      <w:r>
        <w:rPr>
          <w:rFonts w:ascii="Times New Roman" w:hAnsi="Times New Roman" w:eastAsia="仿宋_GB2312" w:cs="Times New Roman"/>
          <w:b/>
          <w:bCs/>
          <w:color w:val="auto"/>
          <w:spacing w:val="8"/>
          <w:kern w:val="2"/>
          <w:sz w:val="32"/>
          <w:szCs w:val="32"/>
          <w:highlight w:val="none"/>
        </w:rPr>
        <w:t>耕地和永久基本农田</w:t>
      </w:r>
      <w:bookmarkEnd w:id="11"/>
      <w:bookmarkEnd w:id="12"/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kern w:val="2"/>
          <w:sz w:val="32"/>
          <w:szCs w:val="32"/>
          <w:highlight w:val="none"/>
        </w:rPr>
        <w:t>保护红线</w:t>
      </w:r>
    </w:p>
    <w:p w14:paraId="43F71F9D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本次动态维护前耕地保有量397.80万亩，维护后耕地保有量保持397.80万亩；维护前永久基本农田33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万亩，维护后永久基本农田33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37</w:t>
      </w:r>
      <w:bookmarkStart w:id="23" w:name="_GoBack"/>
      <w:bookmarkEnd w:id="23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万亩。本次维护严守耕地和永久基本农田保护底线，统筹化解空间冲突，坚持数量稳定、质量提升、布局优化的正向优化导向，优化后永久基本农田保护面积不低于既定保护目标，农田集中连片程度进一步提高，碎散图斑得到有效归并，整体布局更加科学合理。</w:t>
      </w:r>
    </w:p>
    <w:p w14:paraId="606FA5A5">
      <w:pPr>
        <w:spacing w:line="600" w:lineRule="exact"/>
        <w:ind w:firstLine="675" w:firstLineChars="200"/>
        <w:outlineLvl w:val="2"/>
        <w:rPr>
          <w:rFonts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</w:rPr>
        <w:t>2.</w:t>
      </w:r>
      <w:r>
        <w:rPr>
          <w:rFonts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</w:rPr>
        <w:t>生态保护红线</w:t>
      </w:r>
    </w:p>
    <w:p w14:paraId="04519675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本次动态维护前生态保护红线5.14平方千米，不涉及生态保护红线调整。</w:t>
      </w:r>
    </w:p>
    <w:p w14:paraId="2C594F64">
      <w:pPr>
        <w:spacing w:line="600" w:lineRule="exact"/>
        <w:ind w:firstLine="675" w:firstLineChars="200"/>
        <w:outlineLvl w:val="2"/>
        <w:rPr>
          <w:rFonts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</w:rPr>
        <w:t>3.</w:t>
      </w:r>
      <w:bookmarkStart w:id="13" w:name="OLE_LINK33"/>
      <w:bookmarkStart w:id="14" w:name="OLE_LINK34"/>
      <w:bookmarkStart w:id="15" w:name="OLE_LINK54"/>
      <w:r>
        <w:rPr>
          <w:rFonts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</w:rPr>
        <w:t>城镇开发边界</w:t>
      </w:r>
      <w:bookmarkEnd w:id="13"/>
      <w:bookmarkEnd w:id="14"/>
    </w:p>
    <w:bookmarkEnd w:id="15"/>
    <w:p w14:paraId="0D9D3FCA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本次动态维护前城镇开发边界规模11636.18公顷，扩展倍数1.64。本次维护严格落实国土空间总体规划发展定位与城镇空间格局，衔接德惠市“十五五”重点建设项目用地需求，以保障项目落地为前提，在原有城镇开发边界基础上开展局部微调，维持边界格局总体稳定，优化城市功能与空间结构，推动城镇集约集聚。维护充分衔接永久基本农田布局优化、城镇开发边界内零散图斑分类处置相关要求，优化后城镇开发边界扩展倍数不增加，空间布局更加集聚，城镇功能品质得到进一步提升。</w:t>
      </w:r>
    </w:p>
    <w:p w14:paraId="7861EDE7">
      <w:pPr>
        <w:spacing w:line="600" w:lineRule="exact"/>
        <w:ind w:firstLine="675" w:firstLineChars="200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pacing w:val="8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kern w:val="2"/>
          <w:sz w:val="32"/>
          <w:szCs w:val="32"/>
          <w:highlight w:val="none"/>
          <w:lang w:val="en-US" w:eastAsia="zh-CN"/>
        </w:rPr>
        <w:t>4.其他空间管控边界</w:t>
      </w:r>
    </w:p>
    <w:p w14:paraId="4EFD306A">
      <w:pPr>
        <w:spacing w:line="600" w:lineRule="exact"/>
        <w:ind w:firstLine="672" w:firstLineChars="200"/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</w:rPr>
        <w:t>（1）历史文化保护线和洪涝风险控制线</w:t>
      </w:r>
    </w:p>
    <w:p w14:paraId="620D6A5F">
      <w:pPr>
        <w:spacing w:line="600" w:lineRule="exact"/>
        <w:ind w:firstLine="672" w:firstLineChars="200"/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</w:rPr>
        <w:t>本次动态维护不涉及历史文化保护线和洪涝风险控制线调整。</w:t>
      </w:r>
    </w:p>
    <w:p w14:paraId="5533C86D">
      <w:pPr>
        <w:spacing w:line="600" w:lineRule="exact"/>
        <w:ind w:firstLine="672" w:firstLineChars="200"/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</w:rPr>
        <w:t>）城市“四线”</w:t>
      </w:r>
    </w:p>
    <w:p w14:paraId="35911DFD">
      <w:pPr>
        <w:spacing w:line="600" w:lineRule="exact"/>
        <w:ind w:firstLine="675" w:firstLineChars="200"/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2"/>
          <w:szCs w:val="32"/>
          <w:lang w:eastAsia="zh-CN"/>
        </w:rPr>
        <w:t>城市绿线</w:t>
      </w:r>
      <w:r>
        <w:rPr>
          <w:rFonts w:ascii="仿宋_GB2312" w:hAnsi="仿宋_GB2312" w:eastAsia="仿宋_GB2312" w:cs="仿宋_GB2312"/>
          <w:b/>
          <w:bCs/>
          <w:color w:val="auto"/>
          <w:spacing w:val="8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</w:rPr>
        <w:t>本次动态维护主要对德惠公园、德惠市文化公园、德惠市动植物园等区域的城市绿线进行优化。维护前城市绿线68公顷，维护后城市绿线面积69.17公顷。</w:t>
      </w:r>
    </w:p>
    <w:p w14:paraId="553A617D">
      <w:pPr>
        <w:spacing w:line="600" w:lineRule="exact"/>
        <w:ind w:firstLine="675" w:firstLineChars="200"/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2"/>
          <w:szCs w:val="32"/>
          <w:lang w:val="en-US" w:eastAsia="zh-CN"/>
        </w:rPr>
        <w:t>城市黄线。</w:t>
      </w:r>
      <w:r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  <w:lang w:val="en-US" w:eastAsia="zh-CN"/>
        </w:rPr>
        <w:t>本次动态维护不涉及城市黄线调整。</w:t>
      </w:r>
    </w:p>
    <w:p w14:paraId="4F783D34">
      <w:pPr>
        <w:spacing w:line="600" w:lineRule="exact"/>
        <w:ind w:firstLine="675" w:firstLineChars="200"/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2"/>
          <w:szCs w:val="32"/>
          <w:lang w:val="en-US" w:eastAsia="zh-CN"/>
        </w:rPr>
        <w:t>城市紫线。</w:t>
      </w:r>
      <w:r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  <w:lang w:val="en-US" w:eastAsia="zh-CN"/>
        </w:rPr>
        <w:t>本次动态维护不涉及城市紫线调整。</w:t>
      </w:r>
    </w:p>
    <w:p w14:paraId="0BA27963">
      <w:pPr>
        <w:spacing w:line="600" w:lineRule="exact"/>
        <w:ind w:firstLine="675" w:firstLineChars="200"/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8"/>
          <w:sz w:val="32"/>
          <w:szCs w:val="32"/>
          <w:lang w:val="en-US" w:eastAsia="zh-CN"/>
        </w:rPr>
        <w:t>城市蓝线。</w:t>
      </w:r>
      <w:r>
        <w:rPr>
          <w:rFonts w:hint="eastAsia" w:ascii="Times New Roman" w:hAnsi="Times New Roman" w:eastAsia="仿宋_GB2312" w:cs="Times New Roman"/>
          <w:color w:val="auto"/>
          <w:spacing w:val="8"/>
          <w:sz w:val="32"/>
          <w:szCs w:val="32"/>
          <w:highlight w:val="none"/>
          <w:lang w:val="en-US" w:eastAsia="zh-CN"/>
        </w:rPr>
        <w:t>本次动态维护不涉及城市蓝线调整。</w:t>
      </w:r>
    </w:p>
    <w:p w14:paraId="331D9C22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ascii="Times New Roman" w:hAnsi="Times New Roman" w:eastAsia="楷体_GB2312" w:cs="Times New Roman"/>
          <w:bCs/>
          <w:color w:val="auto"/>
          <w:sz w:val="32"/>
          <w:szCs w:val="32"/>
          <w:highlight w:val="none"/>
        </w:rPr>
      </w:pPr>
      <w:bookmarkStart w:id="16" w:name="_Toc14234"/>
      <w:r>
        <w:rPr>
          <w:rFonts w:hint="eastAsia" w:ascii="Times New Roman" w:hAnsi="Times New Roman" w:eastAsia="楷体_GB2312" w:cs="Times New Roman"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bCs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Cs/>
          <w:color w:val="auto"/>
          <w:sz w:val="32"/>
          <w:szCs w:val="32"/>
          <w:highlight w:val="none"/>
        </w:rPr>
        <w:t>）规划分区维护</w:t>
      </w:r>
      <w:bookmarkEnd w:id="16"/>
    </w:p>
    <w:p w14:paraId="70E9D298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bookmarkStart w:id="17" w:name="heading_18"/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全市划分为城镇发展区、乡村发展区、生态保护区、生态控制区、农田保护区五大一级规划分区。本次衔接“三条控制线”正向优化成果及乡镇村庄规划，同步对规划分区开展优化调整。结合永久基本农田、城镇开发边界调整需求，严守农田保护区规模，严控城镇发展区扩张，保障乡村发展区内乡村配套、宅基地等合理用地需求。生态保护区、生态控制区维持空间格局完整连续，实现全域分区边界无交叉冲突，进一步提升空间管控的精准性和规范性。</w:t>
      </w:r>
    </w:p>
    <w:p w14:paraId="317430F6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hint="eastAsia" w:ascii="Times New Roman" w:hAnsi="Times New Roman" w:eastAsia="楷体_GB2312" w:cs="Times New Roman"/>
          <w:bCs/>
          <w:color w:val="auto"/>
          <w:sz w:val="32"/>
          <w:szCs w:val="32"/>
          <w:highlight w:val="none"/>
        </w:rPr>
      </w:pPr>
      <w:bookmarkStart w:id="18" w:name="_Toc9973"/>
      <w:r>
        <w:rPr>
          <w:rFonts w:hint="eastAsia" w:ascii="Times New Roman" w:hAnsi="Times New Roman" w:eastAsia="楷体_GB2312" w:cs="Times New Roman"/>
          <w:bCs/>
          <w:color w:val="auto"/>
          <w:sz w:val="32"/>
          <w:szCs w:val="32"/>
          <w:highlight w:val="none"/>
          <w:lang w:val="en-US" w:eastAsia="zh-CN"/>
        </w:rPr>
        <w:t>（三）中心城区用地规划布局维护</w:t>
      </w:r>
      <w:bookmarkEnd w:id="17"/>
      <w:bookmarkEnd w:id="18"/>
    </w:p>
    <w:p w14:paraId="0E24A68B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以“严守底线、优化布局、保障发展、提升品质”为导向，保持城市总体格局不变，结合德惠市城市体检成果，统筹生活圈建设，完善公共服务与蓝绿开敞空间，支撑新质生产力发展，强化中心城区辐射带动作用。本次中心城区用地布局维护涉及3.71平方千米，以地籍修正地块边界为主，兼顾城市更新，保障棚户区、老旧小区等民生项目落地；结合城镇开发边界维护及城市体检问题，对各类建设用地局部优化，提升规划可实施性，促进城市功能与品质提升。</w:t>
      </w:r>
    </w:p>
    <w:p w14:paraId="36A1849F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1"/>
        <w:rPr>
          <w:rFonts w:hint="eastAsia" w:ascii="Times New Roman" w:hAnsi="Times New Roman" w:eastAsia="楷体_GB2312" w:cs="Times New Roman"/>
          <w:bCs/>
          <w:color w:val="auto"/>
          <w:sz w:val="32"/>
          <w:szCs w:val="32"/>
          <w:highlight w:val="none"/>
        </w:rPr>
      </w:pPr>
      <w:bookmarkStart w:id="19" w:name="_Toc15916"/>
      <w:r>
        <w:rPr>
          <w:rFonts w:hint="eastAsia" w:ascii="Times New Roman" w:hAnsi="Times New Roman" w:eastAsia="楷体_GB2312" w:cs="Times New Roman"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Times New Roman"/>
          <w:bCs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楷体_GB2312" w:cs="Times New Roman"/>
          <w:bCs/>
          <w:color w:val="auto"/>
          <w:sz w:val="32"/>
          <w:szCs w:val="32"/>
          <w:highlight w:val="none"/>
        </w:rPr>
        <w:t>）重点建设项目清单维护</w:t>
      </w:r>
      <w:bookmarkEnd w:id="19"/>
    </w:p>
    <w:p w14:paraId="33939D13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结合国家、省、市重大战略落实及“十五五”规划相关空间需求，坚持“应保尽保、动态调整、统筹优化”原则，因地制宜对总体规划重点建设项目清单实施动态优化，推动项目清单与发展需求精准适配；同步完善国土空间规划动态维护重点项目清单，开展重点项目增补与校核工作，本轮动态维护共增补重点项目116项，涵盖交通、能源资源、水利、信息通信、公益性殡葬服务、综合防灾减灾及其他类别。</w:t>
      </w:r>
    </w:p>
    <w:p w14:paraId="3B8DB7EF">
      <w:pPr>
        <w:widowControl/>
        <w:numPr>
          <w:ilvl w:val="0"/>
          <w:numId w:val="1"/>
        </w:numPr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outlineLvl w:val="0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</w:rPr>
      </w:pPr>
      <w:bookmarkStart w:id="20" w:name="_Toc5779"/>
      <w:bookmarkStart w:id="21" w:name="_Toc32159"/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</w:rPr>
        <w:t>实施保障</w:t>
      </w:r>
      <w:bookmarkEnd w:id="20"/>
      <w:bookmarkEnd w:id="21"/>
    </w:p>
    <w:p w14:paraId="0B15A106">
      <w:pPr>
        <w:spacing w:line="600" w:lineRule="exact"/>
        <w:ind w:firstLine="675" w:firstLineChars="200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</w:rPr>
        <w:t>县级总规传导要求</w:t>
      </w:r>
    </w:p>
    <w:p w14:paraId="046837C0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结合德惠市上位国土空间总体规划指标传导，衔接“多田套合”、永久基本农田“优进劣出”、全域土地综合整治、耕园林草保护利用专项规划等专项行动，明确本次县级总规指标落实情况以及分乡镇（街道）规划指标分解维护方案，包括耕地保有量、永久基本农田、生态保护红线、城镇开发边界的规模落实及分解情况等内容。将规划指标、边界、用途分区、重要控制线等核心内容向乡镇级方案传导细化，为乡镇级详细规划的编制或调整提供刚性管控与弹性指引。</w:t>
      </w:r>
    </w:p>
    <w:p w14:paraId="7E351F4B">
      <w:pPr>
        <w:spacing w:line="600" w:lineRule="exact"/>
        <w:ind w:firstLine="675" w:firstLineChars="200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  <w:lang w:val="en-US" w:eastAsia="zh-CN"/>
        </w:rPr>
        <w:t>2.专项规划传导要求</w:t>
      </w:r>
    </w:p>
    <w:p w14:paraId="582495CF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将城市蓝线、绿线、黄线、紫线等各类空间控制线，交通、能源、水利等基础设施，公共服务设施、公用设施、防灾减灾设施等项目清单，以及其他涉及专项规划修改的内容，纳入德惠市国土空间规划“一张图”，推进国土空间专项规划空间协同融合。统筹绿色食品、循环经济、乡村振兴等重点领域专项规划，与本次动态维护成果精准衔接，确保专项规划空间布局、项目选址、建设规模符合上位管控要求，实现多规协同、空间合一。</w:t>
      </w:r>
    </w:p>
    <w:p w14:paraId="1C25C70F">
      <w:pPr>
        <w:spacing w:line="600" w:lineRule="exact"/>
        <w:ind w:firstLine="675" w:firstLineChars="200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  <w:lang w:val="en-US" w:eastAsia="zh-CN"/>
        </w:rPr>
        <w:t>3.详细规划传导要求</w:t>
      </w:r>
    </w:p>
    <w:p w14:paraId="407FF709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详细规划衔接德惠市镇级总规传导要求，对涉及详细规划修改的专项规划传导内容，编制相关详细规划衔接专篇，按详细规划修改程序同步报批。近期规划实施项目在纳入德惠市“一张图”系统、传导落实到详细规划或项目规划落实方案后，方可组织实施。强化对乡镇级详细规划的刚性管控与弹性指引，明确各乡镇耕地保护、城镇开发边界等核心管控要求，确保上下贯通、执行一致。</w:t>
      </w:r>
    </w:p>
    <w:p w14:paraId="355C1B45">
      <w:pPr>
        <w:spacing w:line="600" w:lineRule="exact"/>
        <w:ind w:firstLine="675" w:firstLineChars="200"/>
        <w:outlineLvl w:val="2"/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8"/>
          <w:sz w:val="32"/>
          <w:szCs w:val="32"/>
          <w:highlight w:val="none"/>
          <w:lang w:val="en-US" w:eastAsia="zh-CN"/>
        </w:rPr>
        <w:t>4.实施监管与全生命周期管理</w:t>
      </w:r>
    </w:p>
    <w:p w14:paraId="1ECEEDF1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本次德惠市国土空间总体规划动态维护将全面强化实施保障：一是强化党建引领与部门协同，构建“党委领导、政府负责、部门协同、上下联动”的责任体系，形成权责清晰、层层落实的工作格局；二是加强动态监测与预警，依托省级“一张图”系统搭建市级监测网络，对三条控制线、重点区域与重大项目实现全域动态监管；三是完善政策机制与全周期管理，围绕重点领域细化配套政策，依托信息化平台对维护全流程实施闭环管理，全面提升国土空间治理现代化水平。</w:t>
      </w:r>
    </w:p>
    <w:p w14:paraId="545E7FEE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spacing w:line="600" w:lineRule="exact"/>
        <w:jc w:val="both"/>
        <w:textAlignment w:val="baseline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156571CF">
      <w:pPr>
        <w:keepNext w:val="0"/>
        <w:keepLines w:val="0"/>
        <w:widowControl/>
        <w:suppressLineNumbers w:val="0"/>
        <w:jc w:val="center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注：本动态维护方案内容以批复后成果为准。</w:t>
      </w:r>
    </w:p>
    <w:p w14:paraId="7C5BF2F8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spacing w:line="600" w:lineRule="exact"/>
        <w:jc w:val="both"/>
        <w:textAlignment w:val="baseline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1AAEFEB5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spacing w:line="600" w:lineRule="exact"/>
        <w:jc w:val="both"/>
        <w:textAlignment w:val="baseline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4E3A3A20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spacing w:line="600" w:lineRule="exact"/>
        <w:jc w:val="both"/>
        <w:textAlignment w:val="baseline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50CFAE89">
      <w:pPr>
        <w:widowControl/>
        <w:numPr>
          <w:ilvl w:val="0"/>
          <w:numId w:val="0"/>
        </w:numPr>
        <w:autoSpaceDE w:val="0"/>
        <w:autoSpaceDN w:val="0"/>
        <w:adjustRightInd w:val="0"/>
        <w:snapToGrid w:val="0"/>
        <w:spacing w:line="600" w:lineRule="exact"/>
        <w:textAlignment w:val="baseline"/>
        <w:outlineLvl w:val="0"/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</w:pPr>
      <w:bookmarkStart w:id="22" w:name="_Toc20785"/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  <w:t>附图</w:t>
      </w:r>
      <w:bookmarkEnd w:id="22"/>
    </w:p>
    <w:p w14:paraId="29294CB0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1.三条控制线维护前图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标明调出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</w:p>
    <w:p w14:paraId="29529831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2.三条控制线维护后图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标明调入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</w:p>
    <w:p w14:paraId="5A351B9E">
      <w:pPr>
        <w:widowControl/>
        <w:autoSpaceDE w:val="0"/>
        <w:autoSpaceDN w:val="0"/>
        <w:adjustRightInd w:val="0"/>
        <w:snapToGrid w:val="0"/>
        <w:spacing w:line="600" w:lineRule="exact"/>
        <w:ind w:firstLine="640" w:firstLineChars="200"/>
        <w:textAlignment w:val="baseline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.城镇开发边界维护后图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标明调入、调出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</w:p>
    <w:p w14:paraId="40C0855D">
      <w:pPr>
        <w:widowControl/>
        <w:kinsoku w:val="0"/>
        <w:autoSpaceDE w:val="0"/>
        <w:adjustRightInd w:val="0"/>
        <w:snapToGrid w:val="0"/>
        <w:jc w:val="left"/>
        <w:textAlignment w:val="baseline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sectPr>
      <w:footerReference r:id="rId4" w:type="default"/>
      <w:pgSz w:w="11905" w:h="16840"/>
      <w:pgMar w:top="1440" w:right="1800" w:bottom="1440" w:left="1800" w:header="720" w:footer="720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方正小标宋_GBK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79C9B">
    <w:pPr>
      <w:spacing w:line="237" w:lineRule="auto"/>
      <w:ind w:left="4165"/>
      <w:rPr>
        <w:rFonts w:hint="default" w:ascii="Calibri" w:hAnsi="Calibri" w:eastAsia="宋体" w:cs="Calibri"/>
        <w:sz w:val="18"/>
        <w:szCs w:val="18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3F1EA">
    <w:pPr>
      <w:spacing w:line="237" w:lineRule="auto"/>
      <w:ind w:left="4165"/>
      <w:rPr>
        <w:rFonts w:hint="default" w:ascii="Calibri" w:hAnsi="Calibri" w:eastAsia="宋体" w:cs="Calibri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4B0B4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4B0B4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9E878"/>
    <w:multiLevelType w:val="singleLevel"/>
    <w:tmpl w:val="EFF9E8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6A43"/>
    <w:rsid w:val="00172A27"/>
    <w:rsid w:val="002E1F6F"/>
    <w:rsid w:val="00307A95"/>
    <w:rsid w:val="0051665C"/>
    <w:rsid w:val="00554510"/>
    <w:rsid w:val="008412C9"/>
    <w:rsid w:val="008E212D"/>
    <w:rsid w:val="00BA5BF4"/>
    <w:rsid w:val="00CA613C"/>
    <w:rsid w:val="00CB06F5"/>
    <w:rsid w:val="00ED3963"/>
    <w:rsid w:val="01017684"/>
    <w:rsid w:val="015C2B0C"/>
    <w:rsid w:val="01612479"/>
    <w:rsid w:val="01D76AEB"/>
    <w:rsid w:val="02497534"/>
    <w:rsid w:val="02595BF1"/>
    <w:rsid w:val="02781E56"/>
    <w:rsid w:val="02BC1AB4"/>
    <w:rsid w:val="02CE3596"/>
    <w:rsid w:val="031214A4"/>
    <w:rsid w:val="03B62A69"/>
    <w:rsid w:val="03F67248"/>
    <w:rsid w:val="04637BB2"/>
    <w:rsid w:val="047C4B90"/>
    <w:rsid w:val="050455C3"/>
    <w:rsid w:val="052C5F47"/>
    <w:rsid w:val="055558AB"/>
    <w:rsid w:val="057E5DCF"/>
    <w:rsid w:val="05AD3936"/>
    <w:rsid w:val="066E1576"/>
    <w:rsid w:val="06A765D7"/>
    <w:rsid w:val="075873F6"/>
    <w:rsid w:val="0781507A"/>
    <w:rsid w:val="07AA7883"/>
    <w:rsid w:val="07AB20F7"/>
    <w:rsid w:val="07D72EEC"/>
    <w:rsid w:val="08416191"/>
    <w:rsid w:val="085602B5"/>
    <w:rsid w:val="089E0931"/>
    <w:rsid w:val="08A07782"/>
    <w:rsid w:val="08AE1E9F"/>
    <w:rsid w:val="08E14D4E"/>
    <w:rsid w:val="08F0070A"/>
    <w:rsid w:val="08F7357B"/>
    <w:rsid w:val="09170BB4"/>
    <w:rsid w:val="095D4C32"/>
    <w:rsid w:val="09B2776D"/>
    <w:rsid w:val="0A0B75E3"/>
    <w:rsid w:val="0A30445B"/>
    <w:rsid w:val="0A526024"/>
    <w:rsid w:val="0A84735B"/>
    <w:rsid w:val="0A911A78"/>
    <w:rsid w:val="0A9926DB"/>
    <w:rsid w:val="0ACB31DC"/>
    <w:rsid w:val="0ADF0F5E"/>
    <w:rsid w:val="0AFA746B"/>
    <w:rsid w:val="0B0F299D"/>
    <w:rsid w:val="0B220922"/>
    <w:rsid w:val="0B260413"/>
    <w:rsid w:val="0B472137"/>
    <w:rsid w:val="0B8A3FF2"/>
    <w:rsid w:val="0BA352FE"/>
    <w:rsid w:val="0BC01BF6"/>
    <w:rsid w:val="0BCD6AE0"/>
    <w:rsid w:val="0BD0037E"/>
    <w:rsid w:val="0C0026CA"/>
    <w:rsid w:val="0CDF4D1D"/>
    <w:rsid w:val="0D0A78C0"/>
    <w:rsid w:val="0D2A0A24"/>
    <w:rsid w:val="0D471659"/>
    <w:rsid w:val="0D840089"/>
    <w:rsid w:val="0DA10D7A"/>
    <w:rsid w:val="0DB02915"/>
    <w:rsid w:val="0DED1503"/>
    <w:rsid w:val="0DF4504A"/>
    <w:rsid w:val="0E2B3F92"/>
    <w:rsid w:val="0E4868F2"/>
    <w:rsid w:val="0E6574A4"/>
    <w:rsid w:val="0E6A7BB1"/>
    <w:rsid w:val="0E8406DA"/>
    <w:rsid w:val="0EBD4ADF"/>
    <w:rsid w:val="0EC7610D"/>
    <w:rsid w:val="0ECB39D4"/>
    <w:rsid w:val="0ED777E6"/>
    <w:rsid w:val="0F026277"/>
    <w:rsid w:val="0F1516A3"/>
    <w:rsid w:val="0F503CB0"/>
    <w:rsid w:val="0F6610B5"/>
    <w:rsid w:val="0F9811B3"/>
    <w:rsid w:val="0FA25AF2"/>
    <w:rsid w:val="0FED4DAE"/>
    <w:rsid w:val="100356B6"/>
    <w:rsid w:val="101138F3"/>
    <w:rsid w:val="107F5BC6"/>
    <w:rsid w:val="10953945"/>
    <w:rsid w:val="10AC5D79"/>
    <w:rsid w:val="10C43B54"/>
    <w:rsid w:val="10D72C13"/>
    <w:rsid w:val="10E16B8A"/>
    <w:rsid w:val="10E50428"/>
    <w:rsid w:val="110F36F7"/>
    <w:rsid w:val="11592BC4"/>
    <w:rsid w:val="116A4DD1"/>
    <w:rsid w:val="117E2242"/>
    <w:rsid w:val="11DA3FAE"/>
    <w:rsid w:val="12900282"/>
    <w:rsid w:val="12932002"/>
    <w:rsid w:val="12D400CA"/>
    <w:rsid w:val="13BA0DB6"/>
    <w:rsid w:val="13D604FC"/>
    <w:rsid w:val="14117786"/>
    <w:rsid w:val="14225451"/>
    <w:rsid w:val="148530C5"/>
    <w:rsid w:val="14A26389"/>
    <w:rsid w:val="14AF514A"/>
    <w:rsid w:val="14B06F9F"/>
    <w:rsid w:val="14B27425"/>
    <w:rsid w:val="15363948"/>
    <w:rsid w:val="156404B5"/>
    <w:rsid w:val="158C796B"/>
    <w:rsid w:val="15CC7E09"/>
    <w:rsid w:val="15E2587E"/>
    <w:rsid w:val="15EE7D7F"/>
    <w:rsid w:val="15F96AE2"/>
    <w:rsid w:val="162D3FB2"/>
    <w:rsid w:val="163065E9"/>
    <w:rsid w:val="16351A9E"/>
    <w:rsid w:val="16D105F7"/>
    <w:rsid w:val="1723614E"/>
    <w:rsid w:val="17263548"/>
    <w:rsid w:val="17977689"/>
    <w:rsid w:val="17B67E37"/>
    <w:rsid w:val="17D82A95"/>
    <w:rsid w:val="18273A1C"/>
    <w:rsid w:val="184721C3"/>
    <w:rsid w:val="188350F6"/>
    <w:rsid w:val="18C80D5B"/>
    <w:rsid w:val="195F7C30"/>
    <w:rsid w:val="199F72DD"/>
    <w:rsid w:val="19A228E7"/>
    <w:rsid w:val="19C73044"/>
    <w:rsid w:val="19F21992"/>
    <w:rsid w:val="19F24478"/>
    <w:rsid w:val="1A420699"/>
    <w:rsid w:val="1B2006F5"/>
    <w:rsid w:val="1B2D1349"/>
    <w:rsid w:val="1B446693"/>
    <w:rsid w:val="1B5B1E66"/>
    <w:rsid w:val="1B721452"/>
    <w:rsid w:val="1B723200"/>
    <w:rsid w:val="1B83540D"/>
    <w:rsid w:val="1B9D4674"/>
    <w:rsid w:val="1BAC6712"/>
    <w:rsid w:val="1BF400B9"/>
    <w:rsid w:val="1C2C56C3"/>
    <w:rsid w:val="1C4F709D"/>
    <w:rsid w:val="1C672639"/>
    <w:rsid w:val="1CD35ABE"/>
    <w:rsid w:val="1CE123EB"/>
    <w:rsid w:val="1CFD70E6"/>
    <w:rsid w:val="1D396C3A"/>
    <w:rsid w:val="1D7F1257"/>
    <w:rsid w:val="1DC65566"/>
    <w:rsid w:val="1DC65D2B"/>
    <w:rsid w:val="1DF60118"/>
    <w:rsid w:val="1E421268"/>
    <w:rsid w:val="1E4D16C6"/>
    <w:rsid w:val="1EAF1FCB"/>
    <w:rsid w:val="1EB6419A"/>
    <w:rsid w:val="1F4A56CF"/>
    <w:rsid w:val="1F6C12ED"/>
    <w:rsid w:val="20000F5F"/>
    <w:rsid w:val="20032679"/>
    <w:rsid w:val="20486F2E"/>
    <w:rsid w:val="20542ED4"/>
    <w:rsid w:val="2099122F"/>
    <w:rsid w:val="20CA2D16"/>
    <w:rsid w:val="211F34E2"/>
    <w:rsid w:val="21221225"/>
    <w:rsid w:val="21294361"/>
    <w:rsid w:val="21443067"/>
    <w:rsid w:val="21515666"/>
    <w:rsid w:val="21521E81"/>
    <w:rsid w:val="215D400B"/>
    <w:rsid w:val="219263AA"/>
    <w:rsid w:val="21F879CD"/>
    <w:rsid w:val="221A3D42"/>
    <w:rsid w:val="22DA2031"/>
    <w:rsid w:val="23012161"/>
    <w:rsid w:val="232732EA"/>
    <w:rsid w:val="233174F1"/>
    <w:rsid w:val="234C07DB"/>
    <w:rsid w:val="23E822B1"/>
    <w:rsid w:val="243A7E7A"/>
    <w:rsid w:val="24AD1A46"/>
    <w:rsid w:val="25016709"/>
    <w:rsid w:val="25781413"/>
    <w:rsid w:val="257F09F3"/>
    <w:rsid w:val="25951FC5"/>
    <w:rsid w:val="259A3A7F"/>
    <w:rsid w:val="25B763DF"/>
    <w:rsid w:val="26007228"/>
    <w:rsid w:val="26881B2A"/>
    <w:rsid w:val="268A3AF4"/>
    <w:rsid w:val="26B40B71"/>
    <w:rsid w:val="270F7B55"/>
    <w:rsid w:val="27546C3A"/>
    <w:rsid w:val="275B2D9A"/>
    <w:rsid w:val="275E288B"/>
    <w:rsid w:val="27B227DC"/>
    <w:rsid w:val="27D16E52"/>
    <w:rsid w:val="28185E93"/>
    <w:rsid w:val="28463A4A"/>
    <w:rsid w:val="28500425"/>
    <w:rsid w:val="285C789A"/>
    <w:rsid w:val="287E0439"/>
    <w:rsid w:val="29241954"/>
    <w:rsid w:val="29AA6528"/>
    <w:rsid w:val="2A6601A2"/>
    <w:rsid w:val="2A9849FA"/>
    <w:rsid w:val="2AD57308"/>
    <w:rsid w:val="2BA108B0"/>
    <w:rsid w:val="2BD43465"/>
    <w:rsid w:val="2BFD2F5E"/>
    <w:rsid w:val="2C106CB2"/>
    <w:rsid w:val="2C9D5779"/>
    <w:rsid w:val="2CB424B1"/>
    <w:rsid w:val="2CCE4A61"/>
    <w:rsid w:val="2D1302BF"/>
    <w:rsid w:val="2D5E5392"/>
    <w:rsid w:val="2DF53F49"/>
    <w:rsid w:val="2E0D3EC1"/>
    <w:rsid w:val="2E8F7DEB"/>
    <w:rsid w:val="2E954DE4"/>
    <w:rsid w:val="2EB17222"/>
    <w:rsid w:val="2ED0406E"/>
    <w:rsid w:val="2F2820FC"/>
    <w:rsid w:val="2F397E65"/>
    <w:rsid w:val="2F6C023B"/>
    <w:rsid w:val="2F725125"/>
    <w:rsid w:val="2F760F5D"/>
    <w:rsid w:val="2FB14AB3"/>
    <w:rsid w:val="2FDA5B67"/>
    <w:rsid w:val="2FE53B49"/>
    <w:rsid w:val="30410981"/>
    <w:rsid w:val="308F3F34"/>
    <w:rsid w:val="3095731D"/>
    <w:rsid w:val="30F56190"/>
    <w:rsid w:val="30F73B34"/>
    <w:rsid w:val="31300F41"/>
    <w:rsid w:val="314E4CE0"/>
    <w:rsid w:val="315D7742"/>
    <w:rsid w:val="3171695A"/>
    <w:rsid w:val="31EC7411"/>
    <w:rsid w:val="31FC4243"/>
    <w:rsid w:val="321150C9"/>
    <w:rsid w:val="32F825DE"/>
    <w:rsid w:val="332C4665"/>
    <w:rsid w:val="3330157F"/>
    <w:rsid w:val="33A2617F"/>
    <w:rsid w:val="33A53035"/>
    <w:rsid w:val="33BB3D6A"/>
    <w:rsid w:val="33C06DA7"/>
    <w:rsid w:val="340053F5"/>
    <w:rsid w:val="346314E0"/>
    <w:rsid w:val="348166DF"/>
    <w:rsid w:val="348222AE"/>
    <w:rsid w:val="34E02D31"/>
    <w:rsid w:val="352D04CC"/>
    <w:rsid w:val="35366BF5"/>
    <w:rsid w:val="35956011"/>
    <w:rsid w:val="35F54F72"/>
    <w:rsid w:val="36421CF5"/>
    <w:rsid w:val="36497887"/>
    <w:rsid w:val="36C01851"/>
    <w:rsid w:val="36C95F72"/>
    <w:rsid w:val="37595813"/>
    <w:rsid w:val="37C404E8"/>
    <w:rsid w:val="37DA2136"/>
    <w:rsid w:val="37FB65FF"/>
    <w:rsid w:val="38002AE5"/>
    <w:rsid w:val="38471845"/>
    <w:rsid w:val="386436F9"/>
    <w:rsid w:val="38B7004D"/>
    <w:rsid w:val="38C629F5"/>
    <w:rsid w:val="38CA67D0"/>
    <w:rsid w:val="391E1DEF"/>
    <w:rsid w:val="395D0053"/>
    <w:rsid w:val="398B4D6E"/>
    <w:rsid w:val="3A266722"/>
    <w:rsid w:val="3A59472B"/>
    <w:rsid w:val="3A5A5133"/>
    <w:rsid w:val="3A7601BF"/>
    <w:rsid w:val="3AE85524"/>
    <w:rsid w:val="3AF92B9E"/>
    <w:rsid w:val="3B077069"/>
    <w:rsid w:val="3B1507A4"/>
    <w:rsid w:val="3B2260B4"/>
    <w:rsid w:val="3B32181A"/>
    <w:rsid w:val="3B323F94"/>
    <w:rsid w:val="3B457B92"/>
    <w:rsid w:val="3BB467AB"/>
    <w:rsid w:val="3BBF5B96"/>
    <w:rsid w:val="3BE61AD0"/>
    <w:rsid w:val="3BED2D63"/>
    <w:rsid w:val="3BF53366"/>
    <w:rsid w:val="3C850B8E"/>
    <w:rsid w:val="3CEA09F1"/>
    <w:rsid w:val="3D0C0967"/>
    <w:rsid w:val="3D22462E"/>
    <w:rsid w:val="3DA27309"/>
    <w:rsid w:val="3DA83401"/>
    <w:rsid w:val="3DF902CA"/>
    <w:rsid w:val="3E18333B"/>
    <w:rsid w:val="3E265A58"/>
    <w:rsid w:val="3E66054B"/>
    <w:rsid w:val="3E80165E"/>
    <w:rsid w:val="3ED15FEF"/>
    <w:rsid w:val="3F252A9C"/>
    <w:rsid w:val="3F6E2720"/>
    <w:rsid w:val="3FC512A1"/>
    <w:rsid w:val="3FC660D8"/>
    <w:rsid w:val="3FDD483D"/>
    <w:rsid w:val="3FFC687F"/>
    <w:rsid w:val="407B536C"/>
    <w:rsid w:val="40C31C84"/>
    <w:rsid w:val="40E233E5"/>
    <w:rsid w:val="41434B73"/>
    <w:rsid w:val="41E27935"/>
    <w:rsid w:val="421F479F"/>
    <w:rsid w:val="42CB3072"/>
    <w:rsid w:val="42D9578F"/>
    <w:rsid w:val="42E47C90"/>
    <w:rsid w:val="432E2B97"/>
    <w:rsid w:val="432F2A26"/>
    <w:rsid w:val="434D1C03"/>
    <w:rsid w:val="43BA3F7D"/>
    <w:rsid w:val="43C967C5"/>
    <w:rsid w:val="43FD36FF"/>
    <w:rsid w:val="442838FD"/>
    <w:rsid w:val="44557097"/>
    <w:rsid w:val="44612EC8"/>
    <w:rsid w:val="44A771C7"/>
    <w:rsid w:val="44A97134"/>
    <w:rsid w:val="44D708E8"/>
    <w:rsid w:val="44F742DD"/>
    <w:rsid w:val="452A0524"/>
    <w:rsid w:val="45713D12"/>
    <w:rsid w:val="4594599D"/>
    <w:rsid w:val="46032B23"/>
    <w:rsid w:val="4615110A"/>
    <w:rsid w:val="46C30277"/>
    <w:rsid w:val="46DF78FC"/>
    <w:rsid w:val="46E70490"/>
    <w:rsid w:val="47282841"/>
    <w:rsid w:val="47596323"/>
    <w:rsid w:val="475D4434"/>
    <w:rsid w:val="478D6B48"/>
    <w:rsid w:val="47CD20BC"/>
    <w:rsid w:val="47E77906"/>
    <w:rsid w:val="480B74E0"/>
    <w:rsid w:val="48877A3B"/>
    <w:rsid w:val="48914416"/>
    <w:rsid w:val="48D37C05"/>
    <w:rsid w:val="48D6398B"/>
    <w:rsid w:val="48E859AE"/>
    <w:rsid w:val="493279A7"/>
    <w:rsid w:val="49B5722B"/>
    <w:rsid w:val="49F31A11"/>
    <w:rsid w:val="49FE3D2D"/>
    <w:rsid w:val="4AAE12AF"/>
    <w:rsid w:val="4AEE6684"/>
    <w:rsid w:val="4B043277"/>
    <w:rsid w:val="4B0C290A"/>
    <w:rsid w:val="4B685902"/>
    <w:rsid w:val="4B6B5E13"/>
    <w:rsid w:val="4B8C5AC2"/>
    <w:rsid w:val="4BFF6DD8"/>
    <w:rsid w:val="4CAF7561"/>
    <w:rsid w:val="4CC96874"/>
    <w:rsid w:val="4CD945DE"/>
    <w:rsid w:val="4CD9638C"/>
    <w:rsid w:val="4D267823"/>
    <w:rsid w:val="4D322BAA"/>
    <w:rsid w:val="4D9E6658"/>
    <w:rsid w:val="4DD54DA5"/>
    <w:rsid w:val="4DDD5524"/>
    <w:rsid w:val="4E604FB7"/>
    <w:rsid w:val="4E744D1E"/>
    <w:rsid w:val="4EAA3021"/>
    <w:rsid w:val="4F355850"/>
    <w:rsid w:val="4F420C51"/>
    <w:rsid w:val="4F717E77"/>
    <w:rsid w:val="4F871C87"/>
    <w:rsid w:val="50131BB5"/>
    <w:rsid w:val="504346B5"/>
    <w:rsid w:val="50783C60"/>
    <w:rsid w:val="50863F45"/>
    <w:rsid w:val="50AB7AEE"/>
    <w:rsid w:val="51025EB1"/>
    <w:rsid w:val="51164890"/>
    <w:rsid w:val="514069D9"/>
    <w:rsid w:val="519311FF"/>
    <w:rsid w:val="519D3E2C"/>
    <w:rsid w:val="521752E4"/>
    <w:rsid w:val="52354064"/>
    <w:rsid w:val="529B480F"/>
    <w:rsid w:val="52B13BB9"/>
    <w:rsid w:val="5311494E"/>
    <w:rsid w:val="5333303B"/>
    <w:rsid w:val="533F1C65"/>
    <w:rsid w:val="535E75EB"/>
    <w:rsid w:val="5361028A"/>
    <w:rsid w:val="53B807BA"/>
    <w:rsid w:val="54BB6BAD"/>
    <w:rsid w:val="54DE6C35"/>
    <w:rsid w:val="55EC7130"/>
    <w:rsid w:val="56B57E6A"/>
    <w:rsid w:val="56F52014"/>
    <w:rsid w:val="572A6162"/>
    <w:rsid w:val="57392849"/>
    <w:rsid w:val="57DA10B9"/>
    <w:rsid w:val="584B2834"/>
    <w:rsid w:val="58973E65"/>
    <w:rsid w:val="58AD6CB6"/>
    <w:rsid w:val="58DE7204"/>
    <w:rsid w:val="58E30C85"/>
    <w:rsid w:val="58ED5699"/>
    <w:rsid w:val="58F05189"/>
    <w:rsid w:val="59103CAB"/>
    <w:rsid w:val="5936458D"/>
    <w:rsid w:val="5943175D"/>
    <w:rsid w:val="5963770A"/>
    <w:rsid w:val="5A2A0F8F"/>
    <w:rsid w:val="5A395D83"/>
    <w:rsid w:val="5ADA7F8B"/>
    <w:rsid w:val="5B6F6A42"/>
    <w:rsid w:val="5C05719D"/>
    <w:rsid w:val="5C234D52"/>
    <w:rsid w:val="5C27198B"/>
    <w:rsid w:val="5C4A6E10"/>
    <w:rsid w:val="5C724DA6"/>
    <w:rsid w:val="5C784540"/>
    <w:rsid w:val="5D414205"/>
    <w:rsid w:val="5D9D1E52"/>
    <w:rsid w:val="5DE84681"/>
    <w:rsid w:val="5E0E14FD"/>
    <w:rsid w:val="5E4B3EC9"/>
    <w:rsid w:val="5E631F59"/>
    <w:rsid w:val="5E8A14A9"/>
    <w:rsid w:val="5E9B254F"/>
    <w:rsid w:val="5EE066EB"/>
    <w:rsid w:val="5F5837B6"/>
    <w:rsid w:val="606326E4"/>
    <w:rsid w:val="60E32902"/>
    <w:rsid w:val="60E530F9"/>
    <w:rsid w:val="611360EA"/>
    <w:rsid w:val="612E684E"/>
    <w:rsid w:val="616927E9"/>
    <w:rsid w:val="61953D51"/>
    <w:rsid w:val="61CD0F4B"/>
    <w:rsid w:val="61E22AA6"/>
    <w:rsid w:val="61F07FA8"/>
    <w:rsid w:val="620403F9"/>
    <w:rsid w:val="62547635"/>
    <w:rsid w:val="62C23C0C"/>
    <w:rsid w:val="62D33A3F"/>
    <w:rsid w:val="6370095A"/>
    <w:rsid w:val="637F049F"/>
    <w:rsid w:val="63853868"/>
    <w:rsid w:val="6394354F"/>
    <w:rsid w:val="63DA0F0F"/>
    <w:rsid w:val="643364F2"/>
    <w:rsid w:val="644626C0"/>
    <w:rsid w:val="6480021A"/>
    <w:rsid w:val="65913850"/>
    <w:rsid w:val="65CE4FEA"/>
    <w:rsid w:val="65D221D9"/>
    <w:rsid w:val="65EC4722"/>
    <w:rsid w:val="664538EE"/>
    <w:rsid w:val="66614AEA"/>
    <w:rsid w:val="666D1BC7"/>
    <w:rsid w:val="666D606B"/>
    <w:rsid w:val="66763229"/>
    <w:rsid w:val="670562A3"/>
    <w:rsid w:val="678E0047"/>
    <w:rsid w:val="67A67E1E"/>
    <w:rsid w:val="67AB288A"/>
    <w:rsid w:val="67C021CA"/>
    <w:rsid w:val="683012AB"/>
    <w:rsid w:val="684626D0"/>
    <w:rsid w:val="685B2699"/>
    <w:rsid w:val="68857E17"/>
    <w:rsid w:val="68877872"/>
    <w:rsid w:val="688A75A5"/>
    <w:rsid w:val="68A903C8"/>
    <w:rsid w:val="68CC390D"/>
    <w:rsid w:val="68D52D4D"/>
    <w:rsid w:val="6958090C"/>
    <w:rsid w:val="695C15CB"/>
    <w:rsid w:val="698270FB"/>
    <w:rsid w:val="699E4859"/>
    <w:rsid w:val="6A4E7F61"/>
    <w:rsid w:val="6A575068"/>
    <w:rsid w:val="6A687275"/>
    <w:rsid w:val="6B760662"/>
    <w:rsid w:val="6B7B6B34"/>
    <w:rsid w:val="6BB64010"/>
    <w:rsid w:val="6BE97F42"/>
    <w:rsid w:val="6BF31F05"/>
    <w:rsid w:val="6C081755"/>
    <w:rsid w:val="6C1C260E"/>
    <w:rsid w:val="6C39522C"/>
    <w:rsid w:val="6C62393B"/>
    <w:rsid w:val="6C7F08A6"/>
    <w:rsid w:val="6C920FFF"/>
    <w:rsid w:val="6CBF5A98"/>
    <w:rsid w:val="6CD26C28"/>
    <w:rsid w:val="6CD504C6"/>
    <w:rsid w:val="6D1B431D"/>
    <w:rsid w:val="6D203E37"/>
    <w:rsid w:val="6D254FA9"/>
    <w:rsid w:val="6D594C53"/>
    <w:rsid w:val="6D7F3300"/>
    <w:rsid w:val="6D8D74BE"/>
    <w:rsid w:val="6E105C5A"/>
    <w:rsid w:val="6E1F57B8"/>
    <w:rsid w:val="6E364385"/>
    <w:rsid w:val="6ED053E9"/>
    <w:rsid w:val="6F001752"/>
    <w:rsid w:val="6F32736E"/>
    <w:rsid w:val="6F576C02"/>
    <w:rsid w:val="6F6B1B80"/>
    <w:rsid w:val="6F8169E8"/>
    <w:rsid w:val="6F977CB5"/>
    <w:rsid w:val="6FB645DF"/>
    <w:rsid w:val="6FD14B4C"/>
    <w:rsid w:val="6FF00AC7"/>
    <w:rsid w:val="702A26D0"/>
    <w:rsid w:val="703B2D36"/>
    <w:rsid w:val="708C533F"/>
    <w:rsid w:val="70C361CB"/>
    <w:rsid w:val="70E62CA2"/>
    <w:rsid w:val="70E936CD"/>
    <w:rsid w:val="714D39D8"/>
    <w:rsid w:val="718C1A9B"/>
    <w:rsid w:val="71AD26E3"/>
    <w:rsid w:val="71CD1741"/>
    <w:rsid w:val="71E73175"/>
    <w:rsid w:val="71F31B1A"/>
    <w:rsid w:val="721957EB"/>
    <w:rsid w:val="72DC4E4C"/>
    <w:rsid w:val="735610F3"/>
    <w:rsid w:val="73AB1F81"/>
    <w:rsid w:val="73C81603"/>
    <w:rsid w:val="73D70FC8"/>
    <w:rsid w:val="743C0E2B"/>
    <w:rsid w:val="7467234B"/>
    <w:rsid w:val="74D93B7D"/>
    <w:rsid w:val="7540434E"/>
    <w:rsid w:val="7564182E"/>
    <w:rsid w:val="75885109"/>
    <w:rsid w:val="76071C1A"/>
    <w:rsid w:val="76461143"/>
    <w:rsid w:val="766D3D59"/>
    <w:rsid w:val="76827C0C"/>
    <w:rsid w:val="76BF24DE"/>
    <w:rsid w:val="76D16244"/>
    <w:rsid w:val="76FA1255"/>
    <w:rsid w:val="771B0089"/>
    <w:rsid w:val="77440722"/>
    <w:rsid w:val="77C67389"/>
    <w:rsid w:val="77FE6B23"/>
    <w:rsid w:val="78191BAF"/>
    <w:rsid w:val="78805CE5"/>
    <w:rsid w:val="789D3E0B"/>
    <w:rsid w:val="790A300D"/>
    <w:rsid w:val="79532E9E"/>
    <w:rsid w:val="796E7CD8"/>
    <w:rsid w:val="79CF368F"/>
    <w:rsid w:val="79E41D86"/>
    <w:rsid w:val="7A1B7CE2"/>
    <w:rsid w:val="7A1E50DA"/>
    <w:rsid w:val="7AA375F1"/>
    <w:rsid w:val="7ADA6E1B"/>
    <w:rsid w:val="7AFB559C"/>
    <w:rsid w:val="7B5A49B8"/>
    <w:rsid w:val="7BFE462B"/>
    <w:rsid w:val="7C0466D2"/>
    <w:rsid w:val="7C084243"/>
    <w:rsid w:val="7C6F05E1"/>
    <w:rsid w:val="7CCB71F0"/>
    <w:rsid w:val="7D1A6FB9"/>
    <w:rsid w:val="7D2B2528"/>
    <w:rsid w:val="7D3461CD"/>
    <w:rsid w:val="7D6D017E"/>
    <w:rsid w:val="7D7776E4"/>
    <w:rsid w:val="7DAF743F"/>
    <w:rsid w:val="7DBC7394"/>
    <w:rsid w:val="7E795155"/>
    <w:rsid w:val="7EC935D9"/>
    <w:rsid w:val="7F2F783F"/>
    <w:rsid w:val="7F6C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360" w:beforeLines="150" w:line="480" w:lineRule="auto"/>
      <w:outlineLvl w:val="0"/>
    </w:pPr>
    <w:rPr>
      <w:rFonts w:eastAsia="黑体"/>
    </w:rPr>
  </w:style>
  <w:style w:type="paragraph" w:styleId="3">
    <w:name w:val="heading 2"/>
    <w:basedOn w:val="1"/>
    <w:next w:val="1"/>
    <w:unhideWhenUsed/>
    <w:qFormat/>
    <w:uiPriority w:val="0"/>
    <w:pPr>
      <w:spacing w:before="120" w:beforeLines="50" w:after="120" w:afterLines="50"/>
      <w:ind w:firstLine="618"/>
      <w:outlineLvl w:val="1"/>
    </w:pPr>
    <w:rPr>
      <w:b/>
      <w:bCs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rPr>
      <w:szCs w:val="21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30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rPr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table" w:customStyle="1" w:styleId="16">
    <w:name w:val="Table Normal"/>
    <w:basedOn w:val="11"/>
    <w:semiHidden/>
    <w:unhideWhenUsed/>
    <w:qFormat/>
    <w:uiPriority w:val="0"/>
    <w:tblPr>
      <w:tblCellMar>
        <w:left w:w="0" w:type="dxa"/>
        <w:right w:w="0" w:type="dxa"/>
      </w:tblCellMar>
    </w:tblPr>
  </w:style>
  <w:style w:type="character" w:customStyle="1" w:styleId="17">
    <w:name w:val="页眉 字符"/>
    <w:basedOn w:val="13"/>
    <w:link w:val="7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8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1344fa-0b2c-4766-b510-d6a046bceb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4538</Words>
  <Characters>4672</Characters>
  <Lines>112</Lines>
  <Paragraphs>31</Paragraphs>
  <TotalTime>0</TotalTime>
  <ScaleCrop>false</ScaleCrop>
  <LinksUpToDate>false</LinksUpToDate>
  <CharactersWithSpaces>4689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2026-03-05T06:11:00Z</dcterms:created>
  <dc:creator>Apache POI</dc:creator>
  <cp:lastModifiedBy>WPS_1757651355</cp:lastModifiedBy>
  <dcterms:modified xsi:type="dcterms:W3CDTF">2026-08-14T05:55:05Z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B7DCC680E7914B2A8070F00909C8F052_13</vt:lpwstr>
  </property>
  <property fmtid="{D5CDD505-2E9C-101B-9397-08002B2CF9AE}" pid="4" name="KSOTemplateDocerSaveRecord">
    <vt:lpwstr>eyJoZGlkIjoiZmJhNGQyZjI4MzhlMGY1MDhkYjIyNTUzNzI2MGJjZWQiLCJ1c2VySWQiOiIxNzQyNDU1NTkxIn0=</vt:lpwstr>
  </property>
</Properties>
</file>