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ascii="仿宋" w:hAnsi="仿宋" w:cs="仿宋"/>
        </w:rPr>
      </w:pPr>
      <w:bookmarkStart w:id="57" w:name="_GoBack"/>
      <w:bookmarkEnd w:id="57"/>
    </w:p>
    <w:p>
      <w:pPr>
        <w:pStyle w:val="10"/>
        <w:spacing w:line="360" w:lineRule="auto"/>
        <w:ind w:firstLine="560"/>
        <w:jc w:val="both"/>
        <w:rPr>
          <w:rFonts w:ascii="仿宋" w:hAnsi="仿宋" w:cs="仿宋"/>
          <w:szCs w:val="24"/>
        </w:rPr>
      </w:pPr>
    </w:p>
    <w:p>
      <w:pPr>
        <w:pStyle w:val="10"/>
        <w:spacing w:line="360" w:lineRule="auto"/>
        <w:ind w:firstLine="560"/>
        <w:jc w:val="both"/>
        <w:rPr>
          <w:rFonts w:ascii="仿宋" w:hAnsi="仿宋" w:cs="仿宋"/>
          <w:szCs w:val="24"/>
        </w:rPr>
      </w:pPr>
    </w:p>
    <w:p>
      <w:pPr>
        <w:pStyle w:val="35"/>
      </w:pPr>
      <w:r>
        <w:rPr>
          <w:rFonts w:hint="eastAsia"/>
        </w:rPr>
        <w:t>德惠</w:t>
      </w:r>
      <w:r>
        <w:t>市“十四五”土壤</w:t>
      </w:r>
      <w:r>
        <w:rPr>
          <w:rFonts w:hint="eastAsia"/>
        </w:rPr>
        <w:t>、地下水和</w:t>
      </w:r>
    </w:p>
    <w:p>
      <w:pPr>
        <w:pStyle w:val="35"/>
      </w:pPr>
      <w:r>
        <w:rPr>
          <w:rFonts w:hint="eastAsia"/>
        </w:rPr>
        <w:t>农村</w:t>
      </w:r>
      <w:r>
        <w:t>生态环境保护规划</w:t>
      </w:r>
    </w:p>
    <w:p>
      <w:pPr>
        <w:pStyle w:val="35"/>
        <w:rPr>
          <w:rFonts w:hint="eastAsia"/>
        </w:rPr>
      </w:pPr>
    </w:p>
    <w:p>
      <w:pPr>
        <w:pStyle w:val="35"/>
      </w:pPr>
      <w:r>
        <w:rPr>
          <w:rFonts w:hint="eastAsia"/>
        </w:rPr>
        <w:t>（征求意见稿）</w:t>
      </w:r>
    </w:p>
    <w:p>
      <w:pPr>
        <w:pStyle w:val="2"/>
        <w:spacing w:after="0"/>
        <w:ind w:left="0" w:leftChars="0" w:firstLine="0" w:firstLineChars="0"/>
        <w:rPr>
          <w:rFonts w:ascii="Times New Roman" w:hAnsi="Times New Roman" w:cs="Times New Roman"/>
          <w:b/>
          <w:bCs/>
          <w:sz w:val="48"/>
          <w:szCs w:val="56"/>
        </w:rPr>
      </w:pPr>
    </w:p>
    <w:p>
      <w:pPr>
        <w:ind w:firstLine="562"/>
        <w:rPr>
          <w:rFonts w:ascii="仿宋" w:hAnsi="仿宋" w:cs="仿宋"/>
          <w:b/>
          <w:bCs/>
        </w:rPr>
      </w:pPr>
    </w:p>
    <w:p>
      <w:pPr>
        <w:ind w:firstLine="562"/>
        <w:rPr>
          <w:rFonts w:ascii="仿宋" w:hAnsi="仿宋" w:cs="仿宋"/>
          <w:b/>
          <w:bCs/>
        </w:rPr>
      </w:pPr>
    </w:p>
    <w:p>
      <w:pPr>
        <w:pStyle w:val="10"/>
        <w:spacing w:line="360" w:lineRule="auto"/>
        <w:ind w:firstLine="562"/>
        <w:jc w:val="both"/>
        <w:rPr>
          <w:rFonts w:ascii="仿宋" w:hAnsi="仿宋" w:cs="仿宋"/>
          <w:b/>
          <w:bCs/>
          <w:szCs w:val="24"/>
        </w:rPr>
      </w:pPr>
    </w:p>
    <w:p>
      <w:pPr>
        <w:pStyle w:val="10"/>
        <w:spacing w:line="360" w:lineRule="auto"/>
        <w:ind w:firstLine="562"/>
        <w:jc w:val="both"/>
        <w:rPr>
          <w:rFonts w:ascii="仿宋" w:hAnsi="仿宋" w:cs="仿宋"/>
          <w:b/>
          <w:bCs/>
          <w:szCs w:val="24"/>
        </w:rPr>
      </w:pPr>
    </w:p>
    <w:p>
      <w:pPr>
        <w:pStyle w:val="10"/>
        <w:spacing w:line="360" w:lineRule="auto"/>
        <w:ind w:firstLine="562"/>
        <w:jc w:val="both"/>
        <w:rPr>
          <w:rFonts w:ascii="仿宋" w:hAnsi="仿宋" w:cs="仿宋"/>
          <w:b/>
          <w:bCs/>
          <w:szCs w:val="24"/>
        </w:rPr>
      </w:pPr>
    </w:p>
    <w:p>
      <w:pPr>
        <w:pStyle w:val="10"/>
        <w:spacing w:line="360" w:lineRule="auto"/>
        <w:ind w:firstLine="562"/>
        <w:jc w:val="both"/>
        <w:rPr>
          <w:rFonts w:ascii="仿宋" w:hAnsi="仿宋" w:cs="仿宋"/>
          <w:b/>
          <w:bCs/>
          <w:szCs w:val="24"/>
        </w:rPr>
      </w:pPr>
    </w:p>
    <w:p>
      <w:pPr>
        <w:pStyle w:val="10"/>
        <w:spacing w:line="360" w:lineRule="auto"/>
        <w:ind w:firstLine="562"/>
        <w:jc w:val="both"/>
        <w:rPr>
          <w:rFonts w:ascii="仿宋" w:hAnsi="仿宋" w:cs="仿宋"/>
          <w:b/>
          <w:bCs/>
          <w:szCs w:val="24"/>
        </w:rPr>
      </w:pPr>
    </w:p>
    <w:p>
      <w:pPr>
        <w:pStyle w:val="10"/>
        <w:spacing w:line="360" w:lineRule="auto"/>
        <w:ind w:firstLine="562"/>
        <w:jc w:val="both"/>
        <w:rPr>
          <w:rFonts w:ascii="仿宋" w:hAnsi="仿宋" w:cs="仿宋"/>
          <w:b/>
          <w:bCs/>
          <w:szCs w:val="24"/>
        </w:rPr>
      </w:pPr>
    </w:p>
    <w:p>
      <w:pPr>
        <w:pStyle w:val="10"/>
        <w:spacing w:line="360" w:lineRule="auto"/>
        <w:ind w:firstLine="562"/>
        <w:jc w:val="both"/>
        <w:rPr>
          <w:rFonts w:ascii="仿宋" w:hAnsi="仿宋" w:cs="仿宋"/>
          <w:b/>
          <w:bCs/>
          <w:szCs w:val="24"/>
        </w:rPr>
      </w:pPr>
    </w:p>
    <w:p>
      <w:pPr>
        <w:pStyle w:val="10"/>
        <w:spacing w:line="360" w:lineRule="auto"/>
        <w:ind w:firstLine="0" w:firstLineChars="0"/>
        <w:jc w:val="both"/>
        <w:rPr>
          <w:rFonts w:ascii="仿宋" w:hAnsi="仿宋" w:cs="仿宋"/>
          <w:b/>
          <w:bCs/>
          <w:sz w:val="32"/>
          <w:szCs w:val="40"/>
        </w:rPr>
      </w:pPr>
    </w:p>
    <w:p>
      <w:pPr>
        <w:pStyle w:val="10"/>
        <w:spacing w:after="0" w:line="360" w:lineRule="auto"/>
        <w:ind w:firstLine="0" w:firstLineChars="0"/>
        <w:jc w:val="center"/>
        <w:rPr>
          <w:rFonts w:ascii="仿宋" w:hAnsi="仿宋" w:cs="仿宋"/>
          <w:b/>
          <w:bCs/>
          <w:sz w:val="32"/>
          <w:szCs w:val="40"/>
        </w:rPr>
      </w:pPr>
      <w:r>
        <w:rPr>
          <w:rFonts w:hint="eastAsia" w:ascii="仿宋" w:hAnsi="仿宋" w:cs="仿宋"/>
          <w:b/>
          <w:bCs/>
          <w:sz w:val="32"/>
          <w:szCs w:val="40"/>
        </w:rPr>
        <w:t>长春市生态环境局德惠市分局</w:t>
      </w:r>
    </w:p>
    <w:p>
      <w:pPr>
        <w:pStyle w:val="10"/>
        <w:spacing w:after="0" w:line="360" w:lineRule="auto"/>
        <w:ind w:firstLine="0" w:firstLineChars="0"/>
        <w:jc w:val="center"/>
        <w:rPr>
          <w:rFonts w:ascii="仿宋" w:hAnsi="仿宋" w:cs="仿宋"/>
          <w:b/>
          <w:bCs/>
          <w:sz w:val="32"/>
          <w:szCs w:val="40"/>
        </w:rPr>
      </w:pPr>
      <w:r>
        <w:rPr>
          <w:rFonts w:hint="eastAsia" w:ascii="仿宋" w:hAnsi="仿宋" w:cs="仿宋"/>
          <w:b/>
          <w:bCs/>
          <w:sz w:val="32"/>
          <w:szCs w:val="40"/>
        </w:rPr>
        <w:t>2022年9月</w:t>
      </w:r>
    </w:p>
    <w:p>
      <w:pPr>
        <w:ind w:firstLine="0" w:firstLineChars="0"/>
        <w:rPr>
          <w:rFonts w:ascii="仿宋" w:hAnsi="仿宋" w:cs="仿宋"/>
          <w:b/>
          <w:bCs/>
        </w:rPr>
        <w:sectPr>
          <w:footerReference r:id="rId5" w:type="default"/>
          <w:pgSz w:w="11906" w:h="16838"/>
          <w:pgMar w:top="1440" w:right="1800" w:bottom="1440" w:left="1800" w:header="851" w:footer="992" w:gutter="0"/>
          <w:cols w:space="425" w:num="1"/>
          <w:docGrid w:type="lines" w:linePitch="312" w:charSpace="0"/>
        </w:sectPr>
      </w:pPr>
    </w:p>
    <w:p>
      <w:pPr>
        <w:ind w:firstLine="643"/>
        <w:jc w:val="center"/>
        <w:rPr>
          <w:rFonts w:ascii="宋体" w:hAnsi="宋体"/>
          <w:b/>
          <w:bCs/>
          <w:sz w:val="32"/>
          <w:szCs w:val="32"/>
        </w:rPr>
      </w:pPr>
      <w:r>
        <w:rPr>
          <w:rFonts w:hint="eastAsia" w:ascii="宋体" w:hAnsi="宋体"/>
          <w:b/>
          <w:bCs/>
          <w:sz w:val="32"/>
          <w:szCs w:val="32"/>
        </w:rPr>
        <w:t>目  录</w:t>
      </w:r>
    </w:p>
    <w:p>
      <w:pPr>
        <w:pStyle w:val="15"/>
        <w:tabs>
          <w:tab w:val="right" w:leader="dot" w:pos="8306"/>
        </w:tabs>
      </w:pPr>
      <w:r>
        <w:rPr>
          <w:rFonts w:hint="eastAsia" w:ascii="仿宋" w:hAnsi="仿宋" w:eastAsia="仿宋" w:cs="仿宋"/>
          <w:b w:val="0"/>
          <w:szCs w:val="28"/>
        </w:rPr>
        <w:fldChar w:fldCharType="begin"/>
      </w:r>
      <w:r>
        <w:rPr>
          <w:rFonts w:hint="eastAsia" w:ascii="仿宋" w:hAnsi="仿宋" w:eastAsia="仿宋" w:cs="仿宋"/>
          <w:b w:val="0"/>
          <w:szCs w:val="28"/>
        </w:rPr>
        <w:instrText xml:space="preserve">TOC \o "1-3" \h \u </w:instrText>
      </w:r>
      <w:r>
        <w:rPr>
          <w:rFonts w:hint="eastAsia" w:ascii="仿宋" w:hAnsi="仿宋" w:eastAsia="仿宋" w:cs="仿宋"/>
          <w:b w:val="0"/>
          <w:szCs w:val="28"/>
        </w:rPr>
        <w:fldChar w:fldCharType="separate"/>
      </w:r>
      <w:r>
        <w:fldChar w:fldCharType="begin"/>
      </w:r>
      <w:r>
        <w:instrText xml:space="preserve"> HYPERLINK \l "_Toc12316" </w:instrText>
      </w:r>
      <w:r>
        <w:fldChar w:fldCharType="separate"/>
      </w:r>
      <w:r>
        <w:rPr>
          <w:rFonts w:hint="eastAsia"/>
        </w:rPr>
        <w:t>一、规划背景</w:t>
      </w:r>
      <w:r>
        <w:tab/>
      </w:r>
      <w:r>
        <w:fldChar w:fldCharType="begin"/>
      </w:r>
      <w:r>
        <w:instrText xml:space="preserve"> PAGEREF _Toc12316 \h </w:instrText>
      </w:r>
      <w:r>
        <w:fldChar w:fldCharType="separate"/>
      </w:r>
      <w:r>
        <w:t>1</w:t>
      </w:r>
      <w:r>
        <w:fldChar w:fldCharType="end"/>
      </w:r>
      <w:r>
        <w:fldChar w:fldCharType="end"/>
      </w:r>
    </w:p>
    <w:p>
      <w:pPr>
        <w:pStyle w:val="16"/>
        <w:tabs>
          <w:tab w:val="right" w:leader="dot" w:pos="8306"/>
        </w:tabs>
      </w:pPr>
      <w:r>
        <w:fldChar w:fldCharType="begin"/>
      </w:r>
      <w:r>
        <w:instrText xml:space="preserve"> HYPERLINK \l "_Toc7525" </w:instrText>
      </w:r>
      <w:r>
        <w:fldChar w:fldCharType="separate"/>
      </w:r>
      <w:r>
        <w:rPr>
          <w:rFonts w:hint="eastAsia" w:ascii="楷体" w:hAnsi="楷体" w:cs="楷体"/>
          <w:bCs/>
          <w:szCs w:val="30"/>
        </w:rPr>
        <w:t>（一）工作进展</w:t>
      </w:r>
      <w:r>
        <w:tab/>
      </w:r>
      <w:r>
        <w:fldChar w:fldCharType="begin"/>
      </w:r>
      <w:r>
        <w:instrText xml:space="preserve"> PAGEREF _Toc7525 \h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"_Toc6204" </w:instrText>
      </w:r>
      <w:r>
        <w:fldChar w:fldCharType="separate"/>
      </w:r>
      <w:r>
        <w:rPr>
          <w:rFonts w:hint="eastAsia"/>
        </w:rPr>
        <w:t>1、土壤环境风险管控不断强化</w:t>
      </w:r>
      <w:r>
        <w:tab/>
      </w:r>
      <w:r>
        <w:fldChar w:fldCharType="begin"/>
      </w:r>
      <w:r>
        <w:instrText xml:space="preserve"> PAGEREF _Toc6204 \h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"_Toc8089" </w:instrText>
      </w:r>
      <w:r>
        <w:fldChar w:fldCharType="separate"/>
      </w:r>
      <w:r>
        <w:rPr>
          <w:rFonts w:hint="eastAsia"/>
        </w:rPr>
        <w:t>2、地下水污染防治稳步推进</w:t>
      </w:r>
      <w:r>
        <w:tab/>
      </w:r>
      <w:r>
        <w:fldChar w:fldCharType="begin"/>
      </w:r>
      <w:r>
        <w:instrText xml:space="preserve"> PAGEREF _Toc8089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"_Toc8715" </w:instrText>
      </w:r>
      <w:r>
        <w:fldChar w:fldCharType="separate"/>
      </w:r>
      <w:r>
        <w:rPr>
          <w:rFonts w:hint="eastAsia"/>
        </w:rPr>
        <w:t>3、农村生态环境保护全面推进</w:t>
      </w:r>
      <w:r>
        <w:tab/>
      </w:r>
      <w:r>
        <w:fldChar w:fldCharType="begin"/>
      </w:r>
      <w:r>
        <w:instrText xml:space="preserve"> PAGEREF _Toc8715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"_Toc4233" </w:instrText>
      </w:r>
      <w:r>
        <w:fldChar w:fldCharType="separate"/>
      </w:r>
      <w:r>
        <w:rPr>
          <w:rFonts w:hint="eastAsia"/>
        </w:rPr>
        <w:t>（二）“十四五”面临的挑战</w:t>
      </w:r>
      <w:r>
        <w:tab/>
      </w:r>
      <w:r>
        <w:fldChar w:fldCharType="begin"/>
      </w:r>
      <w:r>
        <w:instrText xml:space="preserve"> PAGEREF _Toc4233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"_Toc25921" </w:instrText>
      </w:r>
      <w:r>
        <w:fldChar w:fldCharType="separate"/>
      </w:r>
      <w:r>
        <w:rPr>
          <w:rFonts w:hint="eastAsia"/>
        </w:rPr>
        <w:t>（三）发展机遇</w:t>
      </w:r>
      <w:r>
        <w:tab/>
      </w:r>
      <w:r>
        <w:fldChar w:fldCharType="begin"/>
      </w:r>
      <w:r>
        <w:instrText xml:space="preserve"> PAGEREF _Toc25921 \h </w:instrText>
      </w:r>
      <w:r>
        <w:fldChar w:fldCharType="separate"/>
      </w:r>
      <w:r>
        <w:t>7</w:t>
      </w:r>
      <w:r>
        <w:fldChar w:fldCharType="end"/>
      </w:r>
      <w:r>
        <w:fldChar w:fldCharType="end"/>
      </w:r>
    </w:p>
    <w:p>
      <w:pPr>
        <w:pStyle w:val="15"/>
        <w:tabs>
          <w:tab w:val="right" w:leader="dot" w:pos="8306"/>
        </w:tabs>
      </w:pPr>
      <w:r>
        <w:fldChar w:fldCharType="begin"/>
      </w:r>
      <w:r>
        <w:instrText xml:space="preserve"> HYPERLINK \l "_Toc16755" </w:instrText>
      </w:r>
      <w:r>
        <w:fldChar w:fldCharType="separate"/>
      </w:r>
      <w:r>
        <w:rPr>
          <w:rFonts w:hint="eastAsia"/>
        </w:rPr>
        <w:t>二、总体要求</w:t>
      </w:r>
      <w:r>
        <w:tab/>
      </w:r>
      <w:r>
        <w:fldChar w:fldCharType="begin"/>
      </w:r>
      <w:r>
        <w:instrText xml:space="preserve"> PAGEREF _Toc16755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"_Toc11518" </w:instrText>
      </w:r>
      <w:r>
        <w:fldChar w:fldCharType="separate"/>
      </w:r>
      <w:r>
        <w:rPr>
          <w:rFonts w:hint="eastAsia"/>
        </w:rPr>
        <w:t>（一）指导思想</w:t>
      </w:r>
      <w:r>
        <w:tab/>
      </w:r>
      <w:r>
        <w:fldChar w:fldCharType="begin"/>
      </w:r>
      <w:r>
        <w:instrText xml:space="preserve"> PAGEREF _Toc11518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"_Toc31849" </w:instrText>
      </w:r>
      <w:r>
        <w:fldChar w:fldCharType="separate"/>
      </w:r>
      <w:r>
        <w:rPr>
          <w:rFonts w:hint="eastAsia"/>
        </w:rPr>
        <w:t>（二）工作原则</w:t>
      </w:r>
      <w:r>
        <w:tab/>
      </w:r>
      <w:r>
        <w:fldChar w:fldCharType="begin"/>
      </w:r>
      <w:r>
        <w:instrText xml:space="preserve"> PAGEREF _Toc31849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"_Toc24759" </w:instrText>
      </w:r>
      <w:r>
        <w:fldChar w:fldCharType="separate"/>
      </w:r>
      <w:r>
        <w:rPr>
          <w:rFonts w:hint="eastAsia"/>
        </w:rPr>
        <w:t>（三）主要目标</w:t>
      </w:r>
      <w:r>
        <w:tab/>
      </w:r>
      <w:r>
        <w:fldChar w:fldCharType="begin"/>
      </w:r>
      <w:r>
        <w:instrText xml:space="preserve"> PAGEREF _Toc24759 \h </w:instrText>
      </w:r>
      <w:r>
        <w:fldChar w:fldCharType="separate"/>
      </w:r>
      <w:r>
        <w:t>10</w:t>
      </w:r>
      <w:r>
        <w:fldChar w:fldCharType="end"/>
      </w:r>
      <w:r>
        <w:fldChar w:fldCharType="end"/>
      </w:r>
    </w:p>
    <w:p>
      <w:pPr>
        <w:pStyle w:val="15"/>
        <w:tabs>
          <w:tab w:val="right" w:leader="dot" w:pos="8306"/>
        </w:tabs>
      </w:pPr>
      <w:r>
        <w:fldChar w:fldCharType="begin"/>
      </w:r>
      <w:r>
        <w:instrText xml:space="preserve"> HYPERLINK \l "_Toc25099" </w:instrText>
      </w:r>
      <w:r>
        <w:fldChar w:fldCharType="separate"/>
      </w:r>
      <w:r>
        <w:rPr>
          <w:rFonts w:hint="eastAsia"/>
        </w:rPr>
        <w:t>三、主要任务</w:t>
      </w:r>
      <w:r>
        <w:tab/>
      </w:r>
      <w:r>
        <w:fldChar w:fldCharType="begin"/>
      </w:r>
      <w:r>
        <w:instrText xml:space="preserve"> PAGEREF _Toc25099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"_Toc8582" </w:instrText>
      </w:r>
      <w:r>
        <w:fldChar w:fldCharType="separate"/>
      </w:r>
      <w:r>
        <w:rPr>
          <w:rFonts w:hint="eastAsia"/>
        </w:rPr>
        <w:t>（一）持续推进土壤污染防治</w:t>
      </w:r>
      <w:r>
        <w:tab/>
      </w:r>
      <w:r>
        <w:fldChar w:fldCharType="begin"/>
      </w:r>
      <w:r>
        <w:instrText xml:space="preserve"> PAGEREF _Toc8582 \h </w:instrText>
      </w:r>
      <w:r>
        <w:fldChar w:fldCharType="separate"/>
      </w:r>
      <w:r>
        <w:t>11</w:t>
      </w:r>
      <w:r>
        <w:fldChar w:fldCharType="end"/>
      </w:r>
      <w:r>
        <w:fldChar w:fldCharType="end"/>
      </w:r>
    </w:p>
    <w:p>
      <w:pPr>
        <w:pStyle w:val="11"/>
        <w:tabs>
          <w:tab w:val="right" w:leader="dot" w:pos="8306"/>
        </w:tabs>
      </w:pPr>
      <w:r>
        <w:fldChar w:fldCharType="begin"/>
      </w:r>
      <w:r>
        <w:instrText xml:space="preserve"> HYPERLINK \l "_Toc28193" </w:instrText>
      </w:r>
      <w:r>
        <w:fldChar w:fldCharType="separate"/>
      </w:r>
      <w:r>
        <w:rPr>
          <w:rFonts w:hint="eastAsia"/>
        </w:rPr>
        <w:t>1、强化土壤污染源头预防和控制</w:t>
      </w:r>
      <w:r>
        <w:tab/>
      </w:r>
      <w:r>
        <w:fldChar w:fldCharType="begin"/>
      </w:r>
      <w:r>
        <w:instrText xml:space="preserve"> PAGEREF _Toc28193 \h </w:instrText>
      </w:r>
      <w:r>
        <w:fldChar w:fldCharType="separate"/>
      </w:r>
      <w:r>
        <w:t>11</w:t>
      </w:r>
      <w:r>
        <w:fldChar w:fldCharType="end"/>
      </w:r>
      <w:r>
        <w:fldChar w:fldCharType="end"/>
      </w:r>
    </w:p>
    <w:p>
      <w:pPr>
        <w:pStyle w:val="11"/>
        <w:tabs>
          <w:tab w:val="right" w:leader="dot" w:pos="8306"/>
        </w:tabs>
      </w:pPr>
      <w:r>
        <w:fldChar w:fldCharType="begin"/>
      </w:r>
      <w:r>
        <w:instrText xml:space="preserve"> HYPERLINK \l "_Toc9948" </w:instrText>
      </w:r>
      <w:r>
        <w:fldChar w:fldCharType="separate"/>
      </w:r>
      <w:r>
        <w:rPr>
          <w:rFonts w:hint="eastAsia"/>
        </w:rPr>
        <w:t>2、防范工矿企业用地新增土壤污染</w:t>
      </w:r>
      <w:r>
        <w:tab/>
      </w:r>
      <w:r>
        <w:fldChar w:fldCharType="begin"/>
      </w:r>
      <w:r>
        <w:instrText xml:space="preserve"> PAGEREF _Toc9948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"_Toc8696" </w:instrText>
      </w:r>
      <w:r>
        <w:fldChar w:fldCharType="separate"/>
      </w:r>
      <w:r>
        <w:rPr>
          <w:rFonts w:hint="eastAsia"/>
        </w:rPr>
        <w:t>3、深入实施农用地分类管理</w:t>
      </w:r>
      <w:r>
        <w:tab/>
      </w:r>
      <w:r>
        <w:fldChar w:fldCharType="begin"/>
      </w:r>
      <w:r>
        <w:instrText xml:space="preserve"> PAGEREF _Toc8696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"_Toc32234" </w:instrText>
      </w:r>
      <w:r>
        <w:fldChar w:fldCharType="separate"/>
      </w:r>
      <w:r>
        <w:rPr>
          <w:rFonts w:hint="eastAsia"/>
        </w:rPr>
        <w:t>4、严格建设用地准入管理</w:t>
      </w:r>
      <w:r>
        <w:tab/>
      </w:r>
      <w:r>
        <w:fldChar w:fldCharType="begin"/>
      </w:r>
      <w:r>
        <w:instrText xml:space="preserve"> PAGEREF _Toc32234 \h </w:instrText>
      </w:r>
      <w:r>
        <w:fldChar w:fldCharType="separate"/>
      </w:r>
      <w:r>
        <w:t>14</w:t>
      </w:r>
      <w:r>
        <w:fldChar w:fldCharType="end"/>
      </w:r>
      <w:r>
        <w:fldChar w:fldCharType="end"/>
      </w:r>
    </w:p>
    <w:p>
      <w:pPr>
        <w:pStyle w:val="16"/>
        <w:tabs>
          <w:tab w:val="right" w:leader="dot" w:pos="8306"/>
        </w:tabs>
      </w:pPr>
      <w:r>
        <w:fldChar w:fldCharType="begin"/>
      </w:r>
      <w:r>
        <w:instrText xml:space="preserve"> HYPERLINK \l "_Toc2735" </w:instrText>
      </w:r>
      <w:r>
        <w:fldChar w:fldCharType="separate"/>
      </w:r>
      <w:r>
        <w:rPr>
          <w:rFonts w:hint="eastAsia"/>
        </w:rPr>
        <w:t>（二）推进地下水生态环境保护</w:t>
      </w:r>
      <w:r>
        <w:tab/>
      </w:r>
      <w:r>
        <w:fldChar w:fldCharType="begin"/>
      </w:r>
      <w:r>
        <w:instrText xml:space="preserve"> PAGEREF _Toc2735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"_Toc10562" </w:instrText>
      </w:r>
      <w:r>
        <w:fldChar w:fldCharType="separate"/>
      </w:r>
      <w:r>
        <w:rPr>
          <w:rFonts w:hint="eastAsia"/>
        </w:rPr>
        <w:t>1、加强地下水水源环境保护</w:t>
      </w:r>
      <w:r>
        <w:tab/>
      </w:r>
      <w:r>
        <w:fldChar w:fldCharType="begin"/>
      </w:r>
      <w:r>
        <w:instrText xml:space="preserve"> PAGEREF _Toc10562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"_Toc19154" </w:instrText>
      </w:r>
      <w:r>
        <w:fldChar w:fldCharType="separate"/>
      </w:r>
      <w:r>
        <w:rPr>
          <w:rFonts w:hint="eastAsia"/>
        </w:rPr>
        <w:t>2、统筹开展地下水生态环境保护</w:t>
      </w:r>
      <w:r>
        <w:tab/>
      </w:r>
      <w:r>
        <w:fldChar w:fldCharType="begin"/>
      </w:r>
      <w:r>
        <w:instrText xml:space="preserve"> PAGEREF _Toc19154 \h </w:instrText>
      </w:r>
      <w:r>
        <w:fldChar w:fldCharType="separate"/>
      </w:r>
      <w:r>
        <w:t>16</w:t>
      </w:r>
      <w:r>
        <w:fldChar w:fldCharType="end"/>
      </w:r>
      <w:r>
        <w:fldChar w:fldCharType="end"/>
      </w:r>
    </w:p>
    <w:p>
      <w:pPr>
        <w:pStyle w:val="11"/>
        <w:tabs>
          <w:tab w:val="right" w:leader="dot" w:pos="8306"/>
        </w:tabs>
      </w:pPr>
      <w:r>
        <w:fldChar w:fldCharType="begin"/>
      </w:r>
      <w:r>
        <w:instrText xml:space="preserve"> HYPERLINK \l "_Toc19064" </w:instrText>
      </w:r>
      <w:r>
        <w:fldChar w:fldCharType="separate"/>
      </w:r>
      <w:r>
        <w:rPr>
          <w:rFonts w:hint="eastAsia"/>
        </w:rPr>
        <w:t>3、全面开展地下水重点污染风险防控</w:t>
      </w:r>
      <w:r>
        <w:tab/>
      </w:r>
      <w:r>
        <w:fldChar w:fldCharType="begin"/>
      </w:r>
      <w:r>
        <w:instrText xml:space="preserve"> PAGEREF _Toc19064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"_Toc18938" </w:instrText>
      </w:r>
      <w:r>
        <w:fldChar w:fldCharType="separate"/>
      </w:r>
      <w:r>
        <w:rPr>
          <w:rFonts w:hint="eastAsia"/>
        </w:rPr>
        <w:t>（三）改善农业农村生态环境</w:t>
      </w:r>
      <w:r>
        <w:tab/>
      </w:r>
      <w:r>
        <w:fldChar w:fldCharType="begin"/>
      </w:r>
      <w:r>
        <w:instrText xml:space="preserve"> PAGEREF _Toc18938 \h </w:instrText>
      </w:r>
      <w:r>
        <w:fldChar w:fldCharType="separate"/>
      </w:r>
      <w:r>
        <w:t>18</w:t>
      </w:r>
      <w:r>
        <w:fldChar w:fldCharType="end"/>
      </w:r>
      <w:r>
        <w:fldChar w:fldCharType="end"/>
      </w:r>
    </w:p>
    <w:p>
      <w:pPr>
        <w:pStyle w:val="11"/>
        <w:tabs>
          <w:tab w:val="right" w:leader="dot" w:pos="8306"/>
        </w:tabs>
      </w:pPr>
      <w:r>
        <w:fldChar w:fldCharType="begin"/>
      </w:r>
      <w:r>
        <w:instrText xml:space="preserve"> HYPERLINK \l "_Toc3528" </w:instrText>
      </w:r>
      <w:r>
        <w:fldChar w:fldCharType="separate"/>
      </w:r>
      <w:r>
        <w:rPr>
          <w:rFonts w:hint="eastAsia"/>
        </w:rPr>
        <w:t>1、加强农村饮用水水源保护</w:t>
      </w:r>
      <w:r>
        <w:tab/>
      </w:r>
      <w:r>
        <w:fldChar w:fldCharType="begin"/>
      </w:r>
      <w:r>
        <w:instrText xml:space="preserve"> PAGEREF _Toc3528 \h </w:instrText>
      </w:r>
      <w:r>
        <w:fldChar w:fldCharType="separate"/>
      </w:r>
      <w:r>
        <w:t>18</w:t>
      </w:r>
      <w:r>
        <w:fldChar w:fldCharType="end"/>
      </w:r>
      <w:r>
        <w:fldChar w:fldCharType="end"/>
      </w:r>
    </w:p>
    <w:p>
      <w:pPr>
        <w:pStyle w:val="11"/>
        <w:tabs>
          <w:tab w:val="right" w:leader="dot" w:pos="8306"/>
        </w:tabs>
      </w:pPr>
      <w:r>
        <w:fldChar w:fldCharType="begin"/>
      </w:r>
      <w:r>
        <w:instrText xml:space="preserve"> HYPERLINK \l "_Toc590" </w:instrText>
      </w:r>
      <w:r>
        <w:fldChar w:fldCharType="separate"/>
      </w:r>
      <w:r>
        <w:rPr>
          <w:rFonts w:hint="eastAsia"/>
        </w:rPr>
        <w:t>2、推进农业面源污染防治</w:t>
      </w:r>
      <w:r>
        <w:tab/>
      </w:r>
      <w:r>
        <w:fldChar w:fldCharType="begin"/>
      </w:r>
      <w:r>
        <w:instrText xml:space="preserve"> PAGEREF _Toc590 \h </w:instrText>
      </w:r>
      <w:r>
        <w:fldChar w:fldCharType="separate"/>
      </w:r>
      <w:r>
        <w:t>19</w:t>
      </w:r>
      <w:r>
        <w:fldChar w:fldCharType="end"/>
      </w:r>
      <w:r>
        <w:fldChar w:fldCharType="end"/>
      </w:r>
    </w:p>
    <w:p>
      <w:pPr>
        <w:pStyle w:val="11"/>
        <w:tabs>
          <w:tab w:val="right" w:leader="dot" w:pos="8306"/>
        </w:tabs>
      </w:pPr>
      <w:r>
        <w:fldChar w:fldCharType="begin"/>
      </w:r>
      <w:r>
        <w:instrText xml:space="preserve"> HYPERLINK \l "_Toc4121" </w:instrText>
      </w:r>
      <w:r>
        <w:fldChar w:fldCharType="separate"/>
      </w:r>
      <w:r>
        <w:rPr>
          <w:rFonts w:hint="eastAsia"/>
        </w:rPr>
        <w:t>3、有序开展农村黑臭水体整治</w:t>
      </w:r>
      <w:r>
        <w:tab/>
      </w:r>
      <w:r>
        <w:fldChar w:fldCharType="begin"/>
      </w:r>
      <w:r>
        <w:instrText xml:space="preserve"> PAGEREF _Toc4121 \h </w:instrText>
      </w:r>
      <w:r>
        <w:fldChar w:fldCharType="separate"/>
      </w:r>
      <w:r>
        <w:t>20</w:t>
      </w:r>
      <w:r>
        <w:fldChar w:fldCharType="end"/>
      </w:r>
      <w:r>
        <w:fldChar w:fldCharType="end"/>
      </w:r>
    </w:p>
    <w:p>
      <w:pPr>
        <w:pStyle w:val="11"/>
        <w:tabs>
          <w:tab w:val="right" w:leader="dot" w:pos="8306"/>
        </w:tabs>
      </w:pPr>
      <w:r>
        <w:fldChar w:fldCharType="begin"/>
      </w:r>
      <w:r>
        <w:instrText xml:space="preserve"> HYPERLINK \l "_Toc25363" </w:instrText>
      </w:r>
      <w:r>
        <w:fldChar w:fldCharType="separate"/>
      </w:r>
      <w:r>
        <w:rPr>
          <w:rFonts w:hint="eastAsia"/>
        </w:rPr>
        <w:t>4、推进农村生活污水治理</w:t>
      </w:r>
      <w:r>
        <w:tab/>
      </w:r>
      <w:r>
        <w:fldChar w:fldCharType="begin"/>
      </w:r>
      <w:r>
        <w:instrText xml:space="preserve"> PAGEREF _Toc25363 \h </w:instrText>
      </w:r>
      <w:r>
        <w:fldChar w:fldCharType="separate"/>
      </w:r>
      <w:r>
        <w:t>21</w:t>
      </w:r>
      <w:r>
        <w:fldChar w:fldCharType="end"/>
      </w:r>
      <w:r>
        <w:fldChar w:fldCharType="end"/>
      </w:r>
    </w:p>
    <w:p>
      <w:pPr>
        <w:pStyle w:val="11"/>
        <w:tabs>
          <w:tab w:val="right" w:leader="dot" w:pos="8306"/>
        </w:tabs>
      </w:pPr>
      <w:r>
        <w:fldChar w:fldCharType="begin"/>
      </w:r>
      <w:r>
        <w:instrText xml:space="preserve"> HYPERLINK \l "_Toc31177" </w:instrText>
      </w:r>
      <w:r>
        <w:fldChar w:fldCharType="separate"/>
      </w:r>
      <w:r>
        <w:rPr>
          <w:rFonts w:hint="eastAsia"/>
        </w:rPr>
        <w:t>5、提高农村生活垃圾处置水平</w:t>
      </w:r>
      <w:r>
        <w:tab/>
      </w:r>
      <w:r>
        <w:fldChar w:fldCharType="begin"/>
      </w:r>
      <w:r>
        <w:instrText xml:space="preserve"> PAGEREF _Toc31177 \h </w:instrText>
      </w:r>
      <w:r>
        <w:fldChar w:fldCharType="separate"/>
      </w:r>
      <w:r>
        <w:t>22</w:t>
      </w:r>
      <w:r>
        <w:fldChar w:fldCharType="end"/>
      </w:r>
      <w:r>
        <w:fldChar w:fldCharType="end"/>
      </w:r>
    </w:p>
    <w:p>
      <w:pPr>
        <w:pStyle w:val="16"/>
        <w:tabs>
          <w:tab w:val="right" w:leader="dot" w:pos="8306"/>
        </w:tabs>
      </w:pPr>
      <w:r>
        <w:fldChar w:fldCharType="begin"/>
      </w:r>
      <w:r>
        <w:instrText xml:space="preserve"> HYPERLINK \l "_Toc14506" </w:instrText>
      </w:r>
      <w:r>
        <w:fldChar w:fldCharType="separate"/>
      </w:r>
      <w:r>
        <w:rPr>
          <w:rFonts w:hint="eastAsia"/>
        </w:rPr>
        <w:t>（四）提升生态环境监管能力</w:t>
      </w:r>
      <w:r>
        <w:tab/>
      </w:r>
      <w:r>
        <w:fldChar w:fldCharType="begin"/>
      </w:r>
      <w:r>
        <w:instrText xml:space="preserve"> PAGEREF _Toc14506 \h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"_Toc7464" </w:instrText>
      </w:r>
      <w:r>
        <w:fldChar w:fldCharType="separate"/>
      </w:r>
      <w:r>
        <w:rPr>
          <w:rFonts w:hint="eastAsia"/>
        </w:rPr>
        <w:t>1、健全监测网络</w:t>
      </w:r>
      <w:r>
        <w:tab/>
      </w:r>
      <w:r>
        <w:fldChar w:fldCharType="begin"/>
      </w:r>
      <w:r>
        <w:instrText xml:space="preserve"> PAGEREF _Toc7464 \h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"_Toc19898" </w:instrText>
      </w:r>
      <w:r>
        <w:fldChar w:fldCharType="separate"/>
      </w:r>
      <w:r>
        <w:rPr>
          <w:rFonts w:hint="eastAsia"/>
        </w:rPr>
        <w:t>2、加强监管队伍建设</w:t>
      </w:r>
      <w:r>
        <w:tab/>
      </w:r>
      <w:r>
        <w:fldChar w:fldCharType="begin"/>
      </w:r>
      <w:r>
        <w:instrText xml:space="preserve"> PAGEREF _Toc19898 \h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"_Toc7571" </w:instrText>
      </w:r>
      <w:r>
        <w:fldChar w:fldCharType="separate"/>
      </w:r>
      <w:r>
        <w:rPr>
          <w:rFonts w:hint="eastAsia"/>
        </w:rPr>
        <w:t>3、加强生态环境执法与应急</w:t>
      </w:r>
      <w:r>
        <w:tab/>
      </w:r>
      <w:r>
        <w:fldChar w:fldCharType="begin"/>
      </w:r>
      <w:r>
        <w:instrText xml:space="preserve"> PAGEREF _Toc7571 \h </w:instrText>
      </w:r>
      <w:r>
        <w:fldChar w:fldCharType="separate"/>
      </w:r>
      <w:r>
        <w:t>24</w:t>
      </w:r>
      <w:r>
        <w:fldChar w:fldCharType="end"/>
      </w:r>
      <w:r>
        <w:fldChar w:fldCharType="end"/>
      </w:r>
    </w:p>
    <w:p>
      <w:pPr>
        <w:pStyle w:val="15"/>
        <w:tabs>
          <w:tab w:val="right" w:leader="dot" w:pos="8306"/>
        </w:tabs>
      </w:pPr>
      <w:r>
        <w:fldChar w:fldCharType="begin"/>
      </w:r>
      <w:r>
        <w:instrText xml:space="preserve"> HYPERLINK \l "_Toc22092" </w:instrText>
      </w:r>
      <w:r>
        <w:fldChar w:fldCharType="separate"/>
      </w:r>
      <w:r>
        <w:rPr>
          <w:rFonts w:hint="eastAsia"/>
        </w:rPr>
        <w:t>四、保障措施</w:t>
      </w:r>
      <w:r>
        <w:tab/>
      </w:r>
      <w:r>
        <w:fldChar w:fldCharType="begin"/>
      </w:r>
      <w:r>
        <w:instrText xml:space="preserve"> PAGEREF _Toc22092 \h </w:instrText>
      </w:r>
      <w:r>
        <w:fldChar w:fldCharType="separate"/>
      </w:r>
      <w:r>
        <w:t>25</w:t>
      </w:r>
      <w:r>
        <w:fldChar w:fldCharType="end"/>
      </w:r>
      <w:r>
        <w:fldChar w:fldCharType="end"/>
      </w:r>
    </w:p>
    <w:p>
      <w:pPr>
        <w:pStyle w:val="16"/>
        <w:tabs>
          <w:tab w:val="right" w:leader="dot" w:pos="8306"/>
        </w:tabs>
      </w:pPr>
      <w:r>
        <w:fldChar w:fldCharType="begin"/>
      </w:r>
      <w:r>
        <w:instrText xml:space="preserve"> HYPERLINK \l "_Toc3204" </w:instrText>
      </w:r>
      <w:r>
        <w:fldChar w:fldCharType="separate"/>
      </w:r>
      <w:r>
        <w:rPr>
          <w:rFonts w:hint="eastAsia"/>
        </w:rPr>
        <w:t>（一）发挥组织领导能力，</w:t>
      </w:r>
      <w:r>
        <w:t>强化政府主导作用。</w:t>
      </w:r>
      <w:r>
        <w:tab/>
      </w:r>
      <w:r>
        <w:fldChar w:fldCharType="begin"/>
      </w:r>
      <w:r>
        <w:instrText xml:space="preserve"> PAGEREF _Toc3204 \h </w:instrText>
      </w:r>
      <w:r>
        <w:fldChar w:fldCharType="separate"/>
      </w:r>
      <w:r>
        <w:t>25</w:t>
      </w:r>
      <w:r>
        <w:fldChar w:fldCharType="end"/>
      </w:r>
      <w:r>
        <w:fldChar w:fldCharType="end"/>
      </w:r>
    </w:p>
    <w:p>
      <w:pPr>
        <w:pStyle w:val="16"/>
        <w:tabs>
          <w:tab w:val="right" w:leader="dot" w:pos="8306"/>
        </w:tabs>
      </w:pPr>
      <w:r>
        <w:fldChar w:fldCharType="begin"/>
      </w:r>
      <w:r>
        <w:instrText xml:space="preserve"> HYPERLINK \l "_Toc32036" </w:instrText>
      </w:r>
      <w:r>
        <w:fldChar w:fldCharType="separate"/>
      </w:r>
      <w:r>
        <w:rPr>
          <w:rFonts w:hint="eastAsia"/>
        </w:rPr>
        <w:t>（二）加强部门协调联动，落实污染防治责任。</w:t>
      </w:r>
      <w:r>
        <w:tab/>
      </w:r>
      <w:r>
        <w:fldChar w:fldCharType="begin"/>
      </w:r>
      <w:r>
        <w:instrText xml:space="preserve"> PAGEREF _Toc32036 \h </w:instrText>
      </w:r>
      <w:r>
        <w:fldChar w:fldCharType="separate"/>
      </w:r>
      <w:r>
        <w:t>25</w:t>
      </w:r>
      <w:r>
        <w:fldChar w:fldCharType="end"/>
      </w:r>
      <w:r>
        <w:fldChar w:fldCharType="end"/>
      </w:r>
    </w:p>
    <w:p>
      <w:pPr>
        <w:pStyle w:val="16"/>
        <w:tabs>
          <w:tab w:val="right" w:leader="dot" w:pos="8306"/>
        </w:tabs>
      </w:pPr>
      <w:r>
        <w:fldChar w:fldCharType="begin"/>
      </w:r>
      <w:r>
        <w:instrText xml:space="preserve"> HYPERLINK \l "_Toc5147" </w:instrText>
      </w:r>
      <w:r>
        <w:fldChar w:fldCharType="separate"/>
      </w:r>
      <w:r>
        <w:rPr>
          <w:rFonts w:hint="eastAsia"/>
        </w:rPr>
        <w:t>（三）健全防治投入机制，保障资金有效利用。</w:t>
      </w:r>
      <w:r>
        <w:tab/>
      </w:r>
      <w:r>
        <w:fldChar w:fldCharType="begin"/>
      </w:r>
      <w:r>
        <w:instrText xml:space="preserve"> PAGEREF _Toc5147 \h </w:instrText>
      </w:r>
      <w:r>
        <w:fldChar w:fldCharType="separate"/>
      </w:r>
      <w:r>
        <w:t>25</w:t>
      </w:r>
      <w:r>
        <w:fldChar w:fldCharType="end"/>
      </w:r>
      <w:r>
        <w:fldChar w:fldCharType="end"/>
      </w:r>
    </w:p>
    <w:p>
      <w:pPr>
        <w:pStyle w:val="16"/>
        <w:tabs>
          <w:tab w:val="right" w:leader="dot" w:pos="8306"/>
        </w:tabs>
      </w:pPr>
      <w:r>
        <w:fldChar w:fldCharType="begin"/>
      </w:r>
      <w:r>
        <w:instrText xml:space="preserve"> HYPERLINK \l "_Toc27814" </w:instrText>
      </w:r>
      <w:r>
        <w:fldChar w:fldCharType="separate"/>
      </w:r>
      <w:r>
        <w:rPr>
          <w:rFonts w:hint="eastAsia"/>
        </w:rPr>
        <w:t>（四）加大科技创新投入，助力土壤污染防治。</w:t>
      </w:r>
      <w:r>
        <w:tab/>
      </w:r>
      <w:r>
        <w:fldChar w:fldCharType="begin"/>
      </w:r>
      <w:r>
        <w:instrText xml:space="preserve"> PAGEREF _Toc27814 \h </w:instrText>
      </w:r>
      <w:r>
        <w:fldChar w:fldCharType="separate"/>
      </w:r>
      <w:r>
        <w:t>26</w:t>
      </w:r>
      <w:r>
        <w:fldChar w:fldCharType="end"/>
      </w:r>
      <w:r>
        <w:fldChar w:fldCharType="end"/>
      </w:r>
    </w:p>
    <w:p>
      <w:pPr>
        <w:pStyle w:val="16"/>
        <w:tabs>
          <w:tab w:val="right" w:leader="dot" w:pos="8306"/>
        </w:tabs>
      </w:pPr>
      <w:r>
        <w:fldChar w:fldCharType="begin"/>
      </w:r>
      <w:r>
        <w:instrText xml:space="preserve"> HYPERLINK \l "_Toc17124" </w:instrText>
      </w:r>
      <w:r>
        <w:fldChar w:fldCharType="separate"/>
      </w:r>
      <w:r>
        <w:rPr>
          <w:rFonts w:hint="eastAsia"/>
        </w:rPr>
        <w:t>（五）公开土壤环境信息，加强社会公众监督。</w:t>
      </w:r>
      <w:r>
        <w:tab/>
      </w:r>
      <w:r>
        <w:fldChar w:fldCharType="begin"/>
      </w:r>
      <w:r>
        <w:instrText xml:space="preserve"> PAGEREF _Toc17124 \h </w:instrText>
      </w:r>
      <w:r>
        <w:fldChar w:fldCharType="separate"/>
      </w:r>
      <w:r>
        <w:t>26</w:t>
      </w:r>
      <w:r>
        <w:fldChar w:fldCharType="end"/>
      </w:r>
      <w:r>
        <w:fldChar w:fldCharType="end"/>
      </w:r>
    </w:p>
    <w:p>
      <w:pPr>
        <w:pStyle w:val="15"/>
        <w:tabs>
          <w:tab w:val="right" w:leader="dot" w:pos="8306"/>
        </w:tabs>
      </w:pPr>
      <w:r>
        <w:fldChar w:fldCharType="begin"/>
      </w:r>
      <w:r>
        <w:instrText xml:space="preserve"> HYPERLINK \l "_Toc14331" </w:instrText>
      </w:r>
      <w:r>
        <w:fldChar w:fldCharType="separate"/>
      </w:r>
      <w:r>
        <w:rPr>
          <w:rFonts w:hint="eastAsia" w:ascii="宋体" w:hAnsi="宋体"/>
        </w:rPr>
        <w:t>附件</w:t>
      </w:r>
      <w:r>
        <w:tab/>
      </w:r>
      <w:r>
        <w:fldChar w:fldCharType="begin"/>
      </w:r>
      <w:r>
        <w:instrText xml:space="preserve"> PAGEREF _Toc14331 \h </w:instrText>
      </w:r>
      <w:r>
        <w:fldChar w:fldCharType="separate"/>
      </w:r>
      <w:r>
        <w:t>28</w:t>
      </w:r>
      <w:r>
        <w:fldChar w:fldCharType="end"/>
      </w:r>
      <w:r>
        <w:fldChar w:fldCharType="end"/>
      </w:r>
    </w:p>
    <w:p>
      <w:pPr>
        <w:ind w:firstLine="560"/>
        <w:rPr>
          <w:rFonts w:ascii="仿宋" w:hAnsi="仿宋" w:cs="仿宋"/>
          <w:szCs w:val="28"/>
        </w:rPr>
        <w:sectPr>
          <w:footerReference r:id="rId6" w:type="default"/>
          <w:pgSz w:w="11906" w:h="16838"/>
          <w:pgMar w:top="1440" w:right="1800" w:bottom="1440" w:left="1800" w:header="851" w:footer="992" w:gutter="0"/>
          <w:pgNumType w:fmt="upperRoman" w:start="1"/>
          <w:cols w:space="425" w:num="1"/>
          <w:docGrid w:type="lines" w:linePitch="312" w:charSpace="0"/>
        </w:sectPr>
      </w:pPr>
      <w:r>
        <w:rPr>
          <w:rFonts w:hint="eastAsia" w:ascii="仿宋" w:hAnsi="仿宋" w:cs="仿宋"/>
          <w:szCs w:val="28"/>
        </w:rPr>
        <w:fldChar w:fldCharType="end"/>
      </w:r>
    </w:p>
    <w:p>
      <w:pPr>
        <w:ind w:firstLine="560"/>
      </w:pPr>
      <w:r>
        <w:rPr>
          <w:rFonts w:hint="eastAsia"/>
        </w:rPr>
        <w:t>为贯彻落实十九大以来的</w:t>
      </w:r>
      <w:r>
        <w:rPr>
          <w:rFonts w:hint="eastAsia"/>
          <w:lang w:eastAsia="zh-CN"/>
        </w:rPr>
        <w:t>习近平生态文明思想</w:t>
      </w:r>
      <w:r>
        <w:rPr>
          <w:rFonts w:hint="eastAsia"/>
        </w:rPr>
        <w:t>，加快生态文明体制改革，深入打好污染防治攻坚战，加强我市土壤、地下水污染防治和农村生态环境保护水平，依据国家《“十四五”土壤、地下水和农村生态环境保护规划》、《吉林省“十四五”土壤、地下水和农村生态环境保护规划》、《长春市生态环境保护“十四五”规划》、《长春市“十四五”土壤、地下水和农村生态环境保护规划》以及《德惠市生态环境保护“十四五”规划》，制定本规划。</w:t>
      </w:r>
    </w:p>
    <w:p>
      <w:pPr>
        <w:pStyle w:val="4"/>
      </w:pPr>
      <w:bookmarkStart w:id="0" w:name="_Toc12316"/>
      <w:r>
        <w:rPr>
          <w:rFonts w:hint="eastAsia"/>
        </w:rPr>
        <w:t>一、规划背景</w:t>
      </w:r>
      <w:bookmarkEnd w:id="0"/>
    </w:p>
    <w:p>
      <w:pPr>
        <w:pStyle w:val="5"/>
        <w:rPr>
          <w:rFonts w:ascii="楷体" w:hAnsi="楷体" w:cs="楷体"/>
          <w:bCs/>
          <w:szCs w:val="30"/>
        </w:rPr>
      </w:pPr>
      <w:bookmarkStart w:id="1" w:name="_Toc7525"/>
      <w:r>
        <w:rPr>
          <w:rFonts w:hint="eastAsia" w:ascii="楷体" w:hAnsi="楷体" w:cs="楷体"/>
          <w:bCs/>
          <w:szCs w:val="30"/>
        </w:rPr>
        <w:t>（一）工作进展</w:t>
      </w:r>
      <w:bookmarkEnd w:id="1"/>
    </w:p>
    <w:p>
      <w:pPr>
        <w:ind w:firstLine="560"/>
      </w:pPr>
      <w:r>
        <w:rPr>
          <w:rFonts w:hint="eastAsia"/>
        </w:rPr>
        <w:t>“十三五”以来，德惠市深入贯彻习近平</w:t>
      </w:r>
      <w:r>
        <w:rPr>
          <w:rFonts w:hint="eastAsia"/>
          <w:lang w:eastAsia="zh-CN"/>
        </w:rPr>
        <w:t>生态文明思想</w:t>
      </w:r>
      <w:r>
        <w:rPr>
          <w:rFonts w:hint="eastAsia"/>
        </w:rPr>
        <w:t>，认真落实党中央、国务院决策部署，全面推进净土保卫战、碧水保卫战、农业农村污染治理攻坚战行动计划，深入开展土壤、地下水和农村生态环境保护各项工作，取得积极成效。</w:t>
      </w:r>
    </w:p>
    <w:p>
      <w:pPr>
        <w:pStyle w:val="6"/>
        <w:ind w:firstLine="562"/>
      </w:pPr>
      <w:bookmarkStart w:id="2" w:name="_Toc6204"/>
      <w:bookmarkStart w:id="3" w:name="_Toc9426"/>
      <w:r>
        <w:rPr>
          <w:rFonts w:hint="eastAsia"/>
        </w:rPr>
        <w:t>1、土壤环境风险管控不断强化</w:t>
      </w:r>
      <w:bookmarkEnd w:id="2"/>
      <w:bookmarkEnd w:id="3"/>
    </w:p>
    <w:p>
      <w:pPr>
        <w:ind w:firstLine="562"/>
      </w:pPr>
      <w:r>
        <w:rPr>
          <w:rFonts w:hint="eastAsia"/>
          <w:b/>
          <w:bCs/>
        </w:rPr>
        <w:t>土壤污染状况详查初步完成。</w:t>
      </w:r>
      <w:r>
        <w:rPr>
          <w:rFonts w:hint="eastAsia"/>
        </w:rPr>
        <w:t>按照国、省统一部署，开展农用地和重点行业企业用地土壤详查。德惠市于2019年完成了农用地土壤污染状况详查。</w:t>
      </w:r>
    </w:p>
    <w:p>
      <w:pPr>
        <w:ind w:firstLine="562"/>
      </w:pPr>
      <w:r>
        <w:rPr>
          <w:rFonts w:hint="eastAsia"/>
          <w:b/>
          <w:bCs/>
        </w:rPr>
        <w:t>完成耕地土壤环境质量类别划分。</w:t>
      </w:r>
      <w:r>
        <w:rPr>
          <w:rFonts w:hint="eastAsia"/>
        </w:rPr>
        <w:t>2019年，长春市选择德惠市、九台区作为耕地环境质量类别划分先行试点县完成了类别划分工作。德惠市耕地土壤环境质量类别划分涉及耕地面积408.25万亩，其中优先保护类407.90万亩，安全利用类0.35万亩，无严格管控类。</w:t>
      </w:r>
    </w:p>
    <w:p>
      <w:pPr>
        <w:ind w:firstLine="562"/>
      </w:pPr>
      <w:r>
        <w:rPr>
          <w:rFonts w:hint="eastAsia"/>
          <w:b/>
          <w:bCs/>
        </w:rPr>
        <w:t>实施黑土地核心区综合保护。</w:t>
      </w:r>
      <w:r>
        <w:rPr>
          <w:rFonts w:hint="eastAsia"/>
        </w:rPr>
        <w:t>德惠市所辖区域内耕地面积408.25万亩，德惠市典型黑土地耕地面积400万亩，黑土地占德惠市耕地面积的97.56%，占长春市黑土地面积的15.79%。“十三五”期间，德惠市深入贯彻落实习近平总书记“保护好黑土地这一耕地中的大熊猫”的指示精神，全力解决好黑土地“变薄、变瘦、变硬”的突出问题。抓实黑土地耕地质量提升，在适宜区域全面推广“梨树模式”，因地制宜，综合施策，全面提升黑土地有机质含量。</w:t>
      </w:r>
    </w:p>
    <w:p>
      <w:pPr>
        <w:ind w:firstLine="562"/>
      </w:pPr>
      <w:r>
        <w:rPr>
          <w:rFonts w:hint="eastAsia"/>
          <w:b/>
          <w:bCs/>
        </w:rPr>
        <w:t>推广保护性耕作技术。</w:t>
      </w:r>
      <w:r>
        <w:rPr>
          <w:rFonts w:hint="eastAsia"/>
        </w:rPr>
        <w:t>不合理的耕作制度是导致黑土退化的根源，结合长春市制定的《长春市2020年保护性耕作实施方案》，深入探索适合不同区域、土壤条件、机械水平和气候特点的秸秆还田技术模式，落实保护性耕作作业。2020年推广保护性耕作任务为100万亩，实施102万亩，2020年保护性耕作推进情况进展顺利，保护性耕作推广面积超额完成年度任务。</w:t>
      </w:r>
    </w:p>
    <w:p>
      <w:pPr>
        <w:ind w:firstLine="562"/>
      </w:pPr>
      <w:r>
        <w:rPr>
          <w:rFonts w:hint="eastAsia"/>
          <w:b/>
          <w:bCs/>
        </w:rPr>
        <w:t>污染地块名录及其开发利用负面清单建立。</w:t>
      </w:r>
      <w:r>
        <w:rPr>
          <w:rFonts w:hint="eastAsia"/>
        </w:rPr>
        <w:t>根据国家、省、长春市的相关要求和部署，我市组织进一步排查疑似污染地块，经与辖区规划和自然资源等部门确认，建立疑似污染地块清单；纳入全国污染地块土壤环境管理系统，动态更新；建立共享账号，与规划和自然资源部门共享信息。经全面排查，2017年至今，无纳入全国污染地块土壤环境管理系统管理地块，无涉及核发建设工程规划许可证地块，德惠市无地块进入污染地块名录及其开发利用负面清单中。经调查评估，德惠市地块均符合规划土壤环境质量要求，污染地块安全利用率100%。</w:t>
      </w:r>
    </w:p>
    <w:p>
      <w:pPr>
        <w:ind w:firstLine="562"/>
      </w:pPr>
      <w:r>
        <w:rPr>
          <w:rFonts w:hint="eastAsia"/>
          <w:b/>
          <w:bCs/>
        </w:rPr>
        <w:t>动态更新土壤污染重点监管单位名录。</w:t>
      </w:r>
      <w:r>
        <w:rPr>
          <w:rFonts w:hint="eastAsia"/>
        </w:rPr>
        <w:t>逐年动态更新土壤重点监管企业名单，德惠市土壤重点监管企业为6家，分别为：长春大合生物技术开发有限公司、长春幸福电镀有限公司、吉林隆源骐化工有限责任公司、德惠市德佳环保能源有限公司、吉林邦农科技有限公司和德惠市城市环境卫生管理处。督促企业开展风险隐患排查，完成年度土壤自行监测，并向社会公开。督促全市6家土壤重点监管企业开展生产用地土壤环境及地下水自行监测工作，定期开展土壤安全隐患排查，消除土壤污染隐患。</w:t>
      </w:r>
    </w:p>
    <w:p>
      <w:pPr>
        <w:pStyle w:val="6"/>
        <w:ind w:firstLine="562"/>
      </w:pPr>
      <w:bookmarkStart w:id="4" w:name="_Toc29739"/>
      <w:bookmarkStart w:id="5" w:name="_Toc8089"/>
      <w:r>
        <w:rPr>
          <w:rFonts w:hint="eastAsia"/>
        </w:rPr>
        <w:t>2、地下水污染防治稳步推进</w:t>
      </w:r>
      <w:bookmarkEnd w:id="4"/>
      <w:bookmarkEnd w:id="5"/>
    </w:p>
    <w:p>
      <w:pPr>
        <w:ind w:firstLine="560"/>
      </w:pPr>
      <w:r>
        <w:rPr>
          <w:rFonts w:hint="eastAsia"/>
        </w:rPr>
        <w:t>德惠市“十三五”期间，贯彻落实《水污染防治行动计划》以及长春市制定的《长春市落实水污染防治行动计划工作方案》，实施地下水质量考核制度，2017-2020年德惠市纳入省考核的地下水质量考核点位共3处，吉林省长春市德惠市龙凤乾城小区、吉林省长春市德惠市万宝乡和吉林省长春市德惠市朱城子镇，与其他市县区的监测点位构成“十三五”地下水环境监测网，提升了自动监测能力，2020年吉林省长春市德惠市龙凤乾城小区水质为Ⅴ类，吉林省长春市德惠市万宝乡水质为Ⅲ类，吉林省长春市德惠市朱城子镇水质为Ⅳ类。</w:t>
      </w:r>
    </w:p>
    <w:p>
      <w:pPr>
        <w:ind w:firstLine="560"/>
      </w:pPr>
      <w:r>
        <w:rPr>
          <w:rFonts w:hint="eastAsia"/>
        </w:rPr>
        <w:t>2020年，德惠市实现对全市地下水的例行监测，及时掌握地下水水质、水量等基本情况。提升饮用水水源水质全指标监测、水生生物监测、地下水环境监测、化学物质监测及环境风险防控技术支撑能力。同时“十三五”期间开展地下水污染防治初步分区，根据《地下水污染防治区划分工作指南》并结合区域实际情况，确定保护区及防控区，进行集中式地下水型饮用水源和污染源的“双源”管理，并更新“双源”清单，进行地下水基础环境调查，确定地下水水源补给区及危险废物、重点污染企业、垃圾填埋场等周边重点区域，推进地下水污染防治工作。</w:t>
      </w:r>
    </w:p>
    <w:p>
      <w:pPr>
        <w:pStyle w:val="6"/>
        <w:ind w:firstLine="562"/>
      </w:pPr>
      <w:bookmarkStart w:id="6" w:name="_Toc8715"/>
      <w:r>
        <w:rPr>
          <w:rFonts w:hint="eastAsia"/>
        </w:rPr>
        <w:t>3、农村生态环境保护全面推进</w:t>
      </w:r>
      <w:bookmarkEnd w:id="6"/>
    </w:p>
    <w:p>
      <w:pPr>
        <w:ind w:firstLine="562"/>
      </w:pPr>
      <w:r>
        <w:rPr>
          <w:rFonts w:hint="eastAsia"/>
          <w:b/>
          <w:bCs/>
        </w:rPr>
        <w:t>强化农村饮用水水源保护。</w:t>
      </w:r>
      <w:r>
        <w:rPr>
          <w:rFonts w:hint="eastAsia"/>
        </w:rPr>
        <w:t>德惠饮用水水源地保护遵照长春市相关规划执行，规划市域内有一处饮用水地下水源地，位于惠发街道朱家村朱家湾水源地。德惠市划定了74个分散式水源井一级保护区，保护区范围为水源井为圆心，半径50米的圆形区域，合计保护区面积580900平方米。德惠市适合作为集中式地下水型水源地位置共有235处。德惠市在农村地下水型饮用水源保护区边界、人群密集区和易见处，合理设置地理界标、警示牌或宣传牌。</w:t>
      </w:r>
    </w:p>
    <w:p>
      <w:pPr>
        <w:ind w:firstLine="562"/>
      </w:pPr>
      <w:r>
        <w:rPr>
          <w:rFonts w:hint="eastAsia"/>
          <w:b/>
          <w:bCs/>
        </w:rPr>
        <w:t>农村黑臭水体排查。</w:t>
      </w:r>
      <w:r>
        <w:rPr>
          <w:rFonts w:hint="eastAsia"/>
        </w:rPr>
        <w:t>2020年，德惠市对所辖296个行政村的农村黑臭水体进行调查，共排查151个汇水水体，214个非汇水水体，其中排查出0个黑臭水体，已基本实现“长治久清”。</w:t>
      </w:r>
    </w:p>
    <w:p>
      <w:pPr>
        <w:ind w:firstLine="562"/>
      </w:pPr>
      <w:r>
        <w:rPr>
          <w:rFonts w:hint="eastAsia"/>
          <w:b/>
          <w:bCs/>
        </w:rPr>
        <w:t>实施农村环境治理。</w:t>
      </w:r>
      <w:r>
        <w:rPr>
          <w:rFonts w:hint="eastAsia"/>
        </w:rPr>
        <w:t>德惠市组织开展农村人居环境攻坚战。落实市、乡、村“三级书记”责任，形成了党政领导负总责、主管领导具体抓、其他领导全员参与的工作格局。按照“典型引路、示范带动，突出重点、全面推进”的工作思路，以美丽乡村建设为契机，培育打造了米沙子镇太平沟村、惠发街道永生村、朱城子镇西兴村等10大引领村，作为示范样板村。以点带面、示范带动，农村人居环境整治工作分类分步、有序推进。</w:t>
      </w:r>
    </w:p>
    <w:p>
      <w:pPr>
        <w:ind w:firstLine="562"/>
      </w:pPr>
      <w:r>
        <w:rPr>
          <w:rFonts w:hint="eastAsia"/>
          <w:b/>
          <w:bCs/>
        </w:rPr>
        <w:t>开展村屯绿化美化。</w:t>
      </w:r>
      <w:r>
        <w:rPr>
          <w:rFonts w:hint="eastAsia"/>
        </w:rPr>
        <w:t>以出精品为目标，重点打造20个绿化示范村和10个引领村；以提质量为目标，抓好102国道、303省道、美丽乡村精品路线等13条公路两侧的651个屯的绿化，以栽植果树为主，形成“一屯一品”；以增绿为目标，在村屯道路两侧，以及清理出的公共空间栽花种草，实现全市1866个村屯绿化美化全覆盖，形成“点上示范、线上提升、面上覆盖”的新格局。</w:t>
      </w:r>
    </w:p>
    <w:p>
      <w:pPr>
        <w:ind w:firstLine="562"/>
      </w:pPr>
      <w:r>
        <w:rPr>
          <w:rFonts w:hint="eastAsia"/>
          <w:b/>
          <w:bCs/>
        </w:rPr>
        <w:t>开展生活垃圾清运工作。</w:t>
      </w:r>
      <w:r>
        <w:rPr>
          <w:rFonts w:hint="eastAsia"/>
        </w:rPr>
        <w:t>开展以“干干净净迎小康”为主题的村庄清洁行动，重点对公共区域及卫生死角进行清理整治。德惠市每年投入6700万元，采取政府购买服务的方式，从2020年4月1日开始，将德惠市19个乡镇(街)农村生活垃圾清运工作交由两家专业化保洁公司按市区标准组织实施，并把散落的畜禽粪污、河道清理全部纳入服务外包范围，力争做到农村生活垃圾日产日清。</w:t>
      </w:r>
    </w:p>
    <w:p>
      <w:pPr>
        <w:ind w:firstLine="562"/>
      </w:pPr>
      <w:r>
        <w:rPr>
          <w:rFonts w:hint="eastAsia"/>
          <w:b/>
          <w:bCs/>
        </w:rPr>
        <w:t>开展生活垃圾无害化处理。</w:t>
      </w:r>
      <w:r>
        <w:rPr>
          <w:rFonts w:hint="eastAsia"/>
        </w:rPr>
        <w:t>在生活垃圾无害化处理方面，距离市区近的乡镇(街)，由保洁公司统一把农村生活垃圾运到市德佳生活垃圾焚烧发电厂集中处理；对距离市区较远的乡镇，由磁脉冲生活垃圾矿化处理站处理，截至2020年，行政村生活垃圾无害化处理比例达100%。</w:t>
      </w:r>
    </w:p>
    <w:p>
      <w:pPr>
        <w:ind w:firstLine="562"/>
      </w:pPr>
      <w:r>
        <w:rPr>
          <w:rFonts w:hint="eastAsia"/>
          <w:b/>
          <w:bCs/>
        </w:rPr>
        <w:t>推进农村厕所改革。</w:t>
      </w:r>
      <w:r>
        <w:rPr>
          <w:rFonts w:hint="eastAsia"/>
        </w:rPr>
        <w:t>农村改厕继续采用堆肥式浅埋旱厕，优先选择示范村、贫困村，以及生态环保所涉江河流域内的村屯。截至2020年，德惠市改造农村户厕2.81万户。同时，对全市未脱贫建档立卡贫困户、距离河沟较近农户的厕所实施无害化改造。</w:t>
      </w:r>
    </w:p>
    <w:p>
      <w:pPr>
        <w:ind w:firstLine="562"/>
      </w:pPr>
      <w:r>
        <w:rPr>
          <w:rFonts w:hint="eastAsia"/>
          <w:b/>
          <w:bCs/>
        </w:rPr>
        <w:t>加快推进农村生活污水治理。</w:t>
      </w:r>
      <w:r>
        <w:rPr>
          <w:rFonts w:hint="eastAsia"/>
        </w:rPr>
        <w:t>2019年德惠市投资3.38亿元，建设3座污水处理厂、3座乡镇污水处理站和16个污水收集池，目前已建成并投入使用。2020年投资400万元，新购置5台吸污车，成立专门的农村污水收集转运大队，实行集中收集、统一转运。截至2020年9月，所有乡镇污水处理设施实现全覆盖。</w:t>
      </w:r>
    </w:p>
    <w:p>
      <w:pPr>
        <w:ind w:firstLine="562"/>
      </w:pPr>
      <w:r>
        <w:rPr>
          <w:rFonts w:hint="eastAsia"/>
          <w:b/>
          <w:bCs/>
        </w:rPr>
        <w:t>深入推进秸秆利用。</w:t>
      </w:r>
      <w:r>
        <w:rPr>
          <w:rFonts w:hint="eastAsia"/>
        </w:rPr>
        <w:t>十三五”期间，根据长春市下达的相关要求，建立健全秸秆禁烧10项工作机制，推进“5+1”模式秸秆全量化处置。2020年，德惠市农作物秸秆资源综合利用率为89.2%。</w:t>
      </w:r>
    </w:p>
    <w:p>
      <w:pPr>
        <w:ind w:firstLine="562"/>
      </w:pPr>
      <w:r>
        <w:rPr>
          <w:rFonts w:hint="eastAsia"/>
          <w:b/>
          <w:bCs/>
        </w:rPr>
        <w:t>完成畜禽养殖禁养区划定工作。</w:t>
      </w:r>
      <w:r>
        <w:rPr>
          <w:rFonts w:hint="eastAsia"/>
        </w:rPr>
        <w:t>2017年12月份，德惠市完成了443个禁养区的划定，总面积为518.53平方公里；截止到2018年8月24日，德惠市禁养区内确需关闭或搬迁的302家规模养殖场全部完成了关闭或搬迁。2020年生态环境主管部门，对禁养区划定及“无猪县”等情况开展了排查检查。</w:t>
      </w:r>
    </w:p>
    <w:p>
      <w:pPr>
        <w:ind w:firstLine="562"/>
      </w:pPr>
      <w:r>
        <w:rPr>
          <w:rFonts w:hint="eastAsia"/>
          <w:b/>
          <w:bCs/>
        </w:rPr>
        <w:t>推进畜禽养殖废弃物资源化利用。</w:t>
      </w:r>
      <w:r>
        <w:rPr>
          <w:rFonts w:hint="eastAsia"/>
        </w:rPr>
        <w:t>2019年以来，德惠市以国家畜禽粪污资源化利用整县推进项目为载体，通过中央直接投资的6000万专项资金，带动社会投资2.2亿元，新建了日处理能力30吨的动物无害化处理中心，在全市规模以上的养殖场全部建设了粪污处理设施，在散养密集村屯建设了322个散粪收集池，覆盖全市所有乡村，在4个大型规模养殖场建立了有机肥“微工厂”。2020年新建4个大型有机肥厂，年可生产有机肥34万吨，年处理畜禽粪污能力超过100万吨，从根本上解决了畜禽粪污资源化利用的问题。截至2020年，畜禽粪污资源化利用率达到94.5%。</w:t>
      </w:r>
    </w:p>
    <w:p>
      <w:pPr>
        <w:pStyle w:val="5"/>
      </w:pPr>
      <w:bookmarkStart w:id="7" w:name="_Toc21204"/>
      <w:bookmarkStart w:id="8" w:name="_Toc4233"/>
      <w:r>
        <w:rPr>
          <w:rFonts w:hint="eastAsia"/>
        </w:rPr>
        <w:t>（二）“十四五”面临的挑战</w:t>
      </w:r>
      <w:bookmarkEnd w:id="7"/>
      <w:bookmarkEnd w:id="8"/>
    </w:p>
    <w:p>
      <w:pPr>
        <w:ind w:firstLine="562"/>
      </w:pPr>
      <w:r>
        <w:rPr>
          <w:rFonts w:hint="eastAsia"/>
          <w:b/>
          <w:bCs/>
        </w:rPr>
        <w:t>土壤环境风险管控存在不足。</w:t>
      </w:r>
      <w:r>
        <w:rPr>
          <w:rFonts w:hint="eastAsia"/>
        </w:rPr>
        <w:t>土壤污染防治工作起步较晚，土壤环境监测、监管、治理技术能力依然薄弱。在土壤重点监管企业、受污染耕地安全利用、建设用地准入管理、试点示范和监管能力建设等工作方面存在不足。土壤生态修复任务艰巨，基础保障和监管能力薄弱。</w:t>
      </w:r>
    </w:p>
    <w:p>
      <w:pPr>
        <w:ind w:firstLine="562"/>
      </w:pPr>
      <w:r>
        <w:rPr>
          <w:rFonts w:hint="eastAsia"/>
          <w:b/>
          <w:bCs/>
        </w:rPr>
        <w:t>地下水污染防治工作仍需进一步完善。</w:t>
      </w:r>
      <w:r>
        <w:rPr>
          <w:rFonts w:hint="eastAsia"/>
        </w:rPr>
        <w:t>地下水型饮用水水源保护区规范化建设管理仍需进一步完善，地下水环境监测体系不健全。</w:t>
      </w:r>
    </w:p>
    <w:p>
      <w:pPr>
        <w:ind w:firstLine="562"/>
      </w:pPr>
      <w:r>
        <w:rPr>
          <w:rFonts w:hint="eastAsia"/>
          <w:b/>
          <w:bCs/>
        </w:rPr>
        <w:t>农业农村生态环境治理历史欠账多。</w:t>
      </w:r>
      <w:r>
        <w:rPr>
          <w:rFonts w:hint="eastAsia"/>
        </w:rPr>
        <w:t>在生活污水处理、垃圾治理、农村黑臭水体治理、厕所改造、畜禽养殖业污染等方面存在短板。</w:t>
      </w:r>
    </w:p>
    <w:p>
      <w:pPr>
        <w:ind w:firstLine="562"/>
      </w:pPr>
      <w:r>
        <w:rPr>
          <w:rFonts w:hint="eastAsia"/>
          <w:b/>
          <w:bCs/>
        </w:rPr>
        <w:t>土壤、地下水和农业农村生态环境监测监管能力薄弱。</w:t>
      </w:r>
      <w:r>
        <w:rPr>
          <w:rFonts w:hint="eastAsia"/>
        </w:rPr>
        <w:t>土壤、地下水和农业农村生态环境监管人员设备不足、监测和执法能力不足，难以满足监管需要。监测网络和应急体系有待进一步健全，执法能力需要进一步提高。</w:t>
      </w:r>
    </w:p>
    <w:p>
      <w:pPr>
        <w:pStyle w:val="5"/>
      </w:pPr>
      <w:bookmarkStart w:id="9" w:name="_Toc25921"/>
      <w:bookmarkStart w:id="10" w:name="_Toc21200"/>
      <w:r>
        <w:rPr>
          <w:rFonts w:hint="eastAsia"/>
        </w:rPr>
        <w:t>（三）发展机遇</w:t>
      </w:r>
      <w:bookmarkEnd w:id="9"/>
      <w:bookmarkEnd w:id="10"/>
    </w:p>
    <w:p>
      <w:pPr>
        <w:ind w:firstLine="560"/>
      </w:pPr>
      <w:r>
        <w:rPr>
          <w:rFonts w:hint="eastAsia"/>
        </w:rPr>
        <w:t>“十四五”时期是我国全面建成小康社会、实现第一个百年奋斗目标之后，乘势而上开启全面建设社会主义现代化国家新征程、向第二个百年奋斗目标进军的第一个五年，也是推动新时代吉林全面振兴全方位振兴的关键五年。习近平总书记来吉林视察时指出，“吉林省是粮食主产省，要扛稳国家粮食安全责任”、“采取有效措施切实把黑土地这个‘耕地中的大熊猫’保护好、利用好，使之永远造福人民”，为土壤生态环境保护指明了方向。围绕习近平总书记“黑土地保护”这一重要指示精神，土壤污染防治处于大有作为的战略机遇期，长春市要保持生态文明建设和生态环境保护的战略定力，积极推动生态强市建设，坚持方向不变、力度不减，补齐土壤、地下水和农村生态环境保护短板。土壤污染防治纵深推进，土壤和地下水场地联防、区域联控，农村人居环境不断巩固提升，生态环境保护政策和制度红利不断释放，全社会推动绿色发展的自觉性和主动性显著增强，保护生态安全的合力已经形成，为深化污染防治提供了良好的工作环境。</w:t>
      </w:r>
    </w:p>
    <w:p>
      <w:pPr>
        <w:ind w:firstLine="560"/>
      </w:pPr>
      <w:r>
        <w:rPr>
          <w:rFonts w:hint="eastAsia"/>
        </w:rPr>
        <w:t>综合研判，“十四五”期间，既要充分抓住新机遇、利用好新形势、又要妥善应对新挑战、满足新要求，强化问题导向，树立底线思维，多措并举开创全市土壤、地下水污染防治和农村生态环境保护新局面。</w:t>
      </w:r>
    </w:p>
    <w:p>
      <w:pPr>
        <w:pStyle w:val="4"/>
      </w:pPr>
      <w:bookmarkStart w:id="11" w:name="_Toc16755"/>
      <w:r>
        <w:rPr>
          <w:rFonts w:hint="eastAsia"/>
        </w:rPr>
        <w:t>二、总体要求</w:t>
      </w:r>
      <w:bookmarkEnd w:id="11"/>
    </w:p>
    <w:p>
      <w:pPr>
        <w:pStyle w:val="5"/>
      </w:pPr>
      <w:bookmarkStart w:id="12" w:name="_Toc11518"/>
      <w:r>
        <w:rPr>
          <w:rFonts w:hint="eastAsia"/>
        </w:rPr>
        <w:t>（一）指导思想</w:t>
      </w:r>
      <w:bookmarkEnd w:id="12"/>
    </w:p>
    <w:p>
      <w:pPr>
        <w:ind w:firstLine="560"/>
      </w:pPr>
      <w:r>
        <w:rPr>
          <w:rFonts w:hint="eastAsia"/>
        </w:rPr>
        <w:t>以习近平新时代中国特色社会主义思想为指导，全面贯彻落实党的十九大和十九届历次全会精神，深入贯彻习近平</w:t>
      </w:r>
      <w:r>
        <w:rPr>
          <w:rFonts w:hint="eastAsia"/>
          <w:lang w:eastAsia="zh-CN"/>
        </w:rPr>
        <w:t>生态文明思想</w:t>
      </w:r>
      <w:r>
        <w:rPr>
          <w:rFonts w:hint="eastAsia"/>
        </w:rPr>
        <w:t>，认真落实习近平视察吉林关于黑土地保护的重要讲话和重要指示，以实现减污降碳协同增效为总抓手；以改善土壤、地下水和农业农村生态环境质量为核心；以确保农产品质量安全、地下水饮用水水源环境安全、人居环境安全为目标；通过土壤详查评估、地下水检测评估、农业农村环境问题排查，精准发现问题；建立健全法规标准体系和监测网络，全面提升监管能力水平，推进治理体系和治理能力现代化；促进土壤与地下水资源可持续利用，保障农村饮用水安全，控制农业面源污染，改善农村人居环境，推动建设生态宜居美丽乡村，为建设人与自然和谐共生的现代化作出新贡献。</w:t>
      </w:r>
    </w:p>
    <w:p>
      <w:pPr>
        <w:pStyle w:val="5"/>
      </w:pPr>
      <w:bookmarkStart w:id="13" w:name="_Toc31849"/>
      <w:r>
        <w:rPr>
          <w:rFonts w:hint="eastAsia"/>
        </w:rPr>
        <w:t>（二）工作原则</w:t>
      </w:r>
      <w:bookmarkEnd w:id="13"/>
    </w:p>
    <w:p>
      <w:pPr>
        <w:ind w:firstLine="562"/>
      </w:pPr>
      <w:r>
        <w:rPr>
          <w:rFonts w:hint="eastAsia"/>
          <w:b/>
          <w:bCs/>
        </w:rPr>
        <w:t>保护优先，预防为主。</w:t>
      </w:r>
      <w:r>
        <w:rPr>
          <w:rFonts w:hint="eastAsia"/>
        </w:rPr>
        <w:t>落实溯源、断源、减排措施，切断污染物进入土壤和地下水环境的途径。深入实施化学化肥农药减量增效行动，推进农业生产清洁化、产业模式生态化。</w:t>
      </w:r>
    </w:p>
    <w:p>
      <w:pPr>
        <w:ind w:firstLine="562"/>
      </w:pPr>
      <w:r>
        <w:rPr>
          <w:rFonts w:hint="eastAsia"/>
          <w:b/>
          <w:bCs/>
        </w:rPr>
        <w:t>问题导向，系统治理。</w:t>
      </w:r>
      <w:r>
        <w:rPr>
          <w:rFonts w:hint="eastAsia"/>
        </w:rPr>
        <w:t>围绕土壤、地下水和农业农村生态环境保护重点区域、重点行业和重点污染物，聚焦突出环境问题，打通地上和地下、城市和农村，协同推进水、气、土、固体废物、农业农村污染源头管控、系统防控及治理修复。</w:t>
      </w:r>
    </w:p>
    <w:p>
      <w:pPr>
        <w:ind w:firstLine="562"/>
      </w:pPr>
      <w:r>
        <w:rPr>
          <w:rFonts w:hint="eastAsia"/>
          <w:b/>
          <w:bCs/>
        </w:rPr>
        <w:t>强化监管，依法治污。</w:t>
      </w:r>
      <w:r>
        <w:rPr>
          <w:rFonts w:hint="eastAsia"/>
        </w:rPr>
        <w:t>配合落实土壤、地下水与农业农村污染防治法规标准体系。加强土壤、地下水与农业农村生态环境管理人员培训；加强监管执法，强化“污染者担责”；健全风险管控和修复制度，完善环境监测网络，提升科技支撑能力，完善土壤、地下水与农业农村污染防治大数据管理平台，推进治理能力和治理体系现代化。</w:t>
      </w:r>
    </w:p>
    <w:p>
      <w:pPr>
        <w:pStyle w:val="5"/>
      </w:pPr>
      <w:bookmarkStart w:id="14" w:name="_Toc24759"/>
      <w:r>
        <w:rPr>
          <w:rFonts w:hint="eastAsia"/>
        </w:rPr>
        <w:t>（三）主要目标</w:t>
      </w:r>
      <w:bookmarkEnd w:id="14"/>
    </w:p>
    <w:p>
      <w:pPr>
        <w:ind w:firstLine="560"/>
      </w:pPr>
      <w:r>
        <w:rPr>
          <w:rFonts w:hint="eastAsia"/>
        </w:rPr>
        <w:t>到2025年，德惠市土壤和地下水污染源得到基本控制，土壤和地下水环境质量总体保持稳定，局部有所改善，农用地和建设用地土壤环境安全得到进一步保障，土壤和地下水环境风险得到进一步管控，农业面源污染监管体系初步建成，农村生态环境基础设施建设加快推进，农业农村生态环境得到进一步改善。</w:t>
      </w:r>
    </w:p>
    <w:p>
      <w:pPr>
        <w:ind w:firstLine="560"/>
      </w:pPr>
      <w:r>
        <w:rPr>
          <w:rFonts w:hint="eastAsia"/>
        </w:rPr>
        <w:t>到2035年，德惠市土壤和地下水环境质量稳中向好，农用地和建设用地土壤环境安全得到有效保障，土壤环境风险得到全面管控，农业面源污染得到有效遏制，农村生态环境治理能力明显加强，农业农村生态环境得到明显改善。</w:t>
      </w:r>
    </w:p>
    <w:p>
      <w:pPr>
        <w:pStyle w:val="36"/>
        <w:rPr>
          <w:rFonts w:hint="default"/>
        </w:rPr>
      </w:pPr>
      <w:r>
        <w:t>表1 “十四五”土壤、地下水和农业农村生态环境保护主要指标</w:t>
      </w:r>
    </w:p>
    <w:tbl>
      <w:tblPr>
        <w:tblStyle w:val="20"/>
        <w:tblW w:w="4997"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140"/>
        <w:gridCol w:w="3057"/>
        <w:gridCol w:w="1367"/>
        <w:gridCol w:w="1813"/>
        <w:gridCol w:w="1140"/>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69" w:type="pct"/>
            <w:tcBorders>
              <w:tl2br w:val="nil"/>
              <w:tr2bl w:val="nil"/>
            </w:tcBorders>
            <w:shd w:val="clear" w:color="auto" w:fill="auto"/>
            <w:vAlign w:val="center"/>
          </w:tcPr>
          <w:p>
            <w:pPr>
              <w:spacing w:line="240" w:lineRule="auto"/>
              <w:ind w:firstLine="0" w:firstLineChars="0"/>
              <w:jc w:val="center"/>
              <w:rPr>
                <w:rFonts w:ascii="宋体" w:hAnsi="宋体" w:eastAsia="宋体"/>
                <w:b/>
                <w:bCs/>
                <w:sz w:val="21"/>
                <w:szCs w:val="21"/>
              </w:rPr>
            </w:pPr>
            <w:r>
              <w:rPr>
                <w:rFonts w:hint="eastAsia" w:ascii="宋体" w:hAnsi="宋体" w:eastAsia="宋体"/>
                <w:b/>
                <w:bCs/>
                <w:sz w:val="21"/>
                <w:szCs w:val="21"/>
              </w:rPr>
              <w:t>类型</w:t>
            </w:r>
          </w:p>
        </w:tc>
        <w:tc>
          <w:tcPr>
            <w:tcW w:w="1794" w:type="pct"/>
            <w:tcBorders>
              <w:tl2br w:val="nil"/>
              <w:tr2bl w:val="nil"/>
            </w:tcBorders>
            <w:shd w:val="clear" w:color="auto" w:fill="auto"/>
            <w:vAlign w:val="center"/>
          </w:tcPr>
          <w:p>
            <w:pPr>
              <w:spacing w:line="240" w:lineRule="auto"/>
              <w:ind w:firstLine="0" w:firstLineChars="0"/>
              <w:jc w:val="center"/>
              <w:rPr>
                <w:rFonts w:ascii="宋体" w:hAnsi="宋体" w:eastAsia="宋体"/>
                <w:b/>
                <w:bCs/>
                <w:sz w:val="21"/>
                <w:szCs w:val="21"/>
              </w:rPr>
            </w:pPr>
            <w:r>
              <w:rPr>
                <w:rFonts w:hint="eastAsia" w:ascii="宋体" w:hAnsi="宋体" w:eastAsia="宋体"/>
                <w:b/>
                <w:bCs/>
                <w:sz w:val="21"/>
                <w:szCs w:val="21"/>
              </w:rPr>
              <w:t>指标名称</w:t>
            </w:r>
          </w:p>
        </w:tc>
        <w:tc>
          <w:tcPr>
            <w:tcW w:w="802" w:type="pct"/>
            <w:tcBorders>
              <w:tl2br w:val="nil"/>
              <w:tr2bl w:val="nil"/>
            </w:tcBorders>
            <w:shd w:val="clear" w:color="auto" w:fill="auto"/>
            <w:vAlign w:val="center"/>
          </w:tcPr>
          <w:p>
            <w:pPr>
              <w:spacing w:line="240" w:lineRule="auto"/>
              <w:ind w:firstLine="0" w:firstLineChars="0"/>
              <w:jc w:val="center"/>
              <w:rPr>
                <w:rFonts w:ascii="宋体" w:hAnsi="宋体" w:eastAsia="宋体"/>
                <w:b/>
                <w:bCs/>
                <w:sz w:val="21"/>
                <w:szCs w:val="21"/>
              </w:rPr>
            </w:pPr>
            <w:r>
              <w:rPr>
                <w:rFonts w:hint="eastAsia" w:ascii="宋体" w:hAnsi="宋体" w:eastAsia="宋体"/>
                <w:b/>
                <w:bCs/>
                <w:sz w:val="21"/>
                <w:szCs w:val="21"/>
              </w:rPr>
              <w:t>2020年</w:t>
            </w:r>
          </w:p>
          <w:p>
            <w:pPr>
              <w:spacing w:line="240" w:lineRule="auto"/>
              <w:ind w:firstLine="0" w:firstLineChars="0"/>
              <w:jc w:val="center"/>
              <w:rPr>
                <w:rFonts w:ascii="宋体" w:hAnsi="宋体" w:eastAsia="宋体"/>
                <w:b/>
                <w:bCs/>
                <w:sz w:val="21"/>
                <w:szCs w:val="21"/>
              </w:rPr>
            </w:pPr>
            <w:r>
              <w:rPr>
                <w:rFonts w:hint="eastAsia" w:ascii="宋体" w:hAnsi="宋体" w:eastAsia="宋体"/>
                <w:b/>
                <w:bCs/>
                <w:sz w:val="21"/>
                <w:szCs w:val="21"/>
              </w:rPr>
              <w:t>（现状值）</w:t>
            </w:r>
          </w:p>
        </w:tc>
        <w:tc>
          <w:tcPr>
            <w:tcW w:w="1064" w:type="pct"/>
            <w:tcBorders>
              <w:tl2br w:val="nil"/>
              <w:tr2bl w:val="nil"/>
            </w:tcBorders>
            <w:shd w:val="clear" w:color="auto" w:fill="auto"/>
            <w:vAlign w:val="center"/>
          </w:tcPr>
          <w:p>
            <w:pPr>
              <w:spacing w:line="240" w:lineRule="auto"/>
              <w:ind w:firstLine="0" w:firstLineChars="0"/>
              <w:jc w:val="center"/>
              <w:rPr>
                <w:rFonts w:ascii="宋体" w:hAnsi="宋体" w:eastAsia="宋体"/>
                <w:b/>
                <w:bCs/>
                <w:sz w:val="21"/>
                <w:szCs w:val="21"/>
              </w:rPr>
            </w:pPr>
            <w:r>
              <w:rPr>
                <w:rFonts w:hint="eastAsia" w:ascii="宋体" w:hAnsi="宋体" w:eastAsia="宋体"/>
                <w:b/>
                <w:bCs/>
                <w:sz w:val="21"/>
                <w:szCs w:val="21"/>
              </w:rPr>
              <w:t>2025年</w:t>
            </w:r>
          </w:p>
          <w:p>
            <w:pPr>
              <w:spacing w:line="240" w:lineRule="auto"/>
              <w:ind w:firstLine="0" w:firstLineChars="0"/>
              <w:jc w:val="center"/>
            </w:pPr>
            <w:r>
              <w:rPr>
                <w:rFonts w:hint="eastAsia" w:ascii="宋体" w:hAnsi="宋体" w:eastAsia="宋体"/>
                <w:b/>
                <w:bCs/>
                <w:sz w:val="21"/>
                <w:szCs w:val="21"/>
              </w:rPr>
              <w:t>（目标值）</w:t>
            </w:r>
          </w:p>
        </w:tc>
        <w:tc>
          <w:tcPr>
            <w:tcW w:w="669" w:type="pct"/>
            <w:tcBorders>
              <w:tl2br w:val="nil"/>
              <w:tr2bl w:val="nil"/>
            </w:tcBorders>
            <w:shd w:val="clear" w:color="auto" w:fill="auto"/>
            <w:vAlign w:val="center"/>
          </w:tcPr>
          <w:p>
            <w:pPr>
              <w:spacing w:line="240" w:lineRule="auto"/>
              <w:ind w:firstLine="0" w:firstLineChars="0"/>
              <w:jc w:val="center"/>
              <w:rPr>
                <w:rFonts w:ascii="宋体" w:hAnsi="宋体" w:eastAsia="宋体"/>
                <w:b/>
                <w:bCs/>
                <w:sz w:val="21"/>
                <w:szCs w:val="21"/>
              </w:rPr>
            </w:pPr>
            <w:r>
              <w:rPr>
                <w:rFonts w:hint="eastAsia" w:ascii="宋体" w:hAnsi="宋体" w:eastAsia="宋体"/>
                <w:b/>
                <w:bCs/>
                <w:sz w:val="21"/>
                <w:szCs w:val="21"/>
              </w:rPr>
              <w:t>指标属性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69" w:type="pct"/>
            <w:vMerge w:val="restart"/>
            <w:tcBorders>
              <w:tl2br w:val="nil"/>
              <w:tr2bl w:val="nil"/>
            </w:tcBorders>
            <w:shd w:val="clear" w:color="auto" w:fill="auto"/>
            <w:vAlign w:val="center"/>
          </w:tcPr>
          <w:p>
            <w:pPr>
              <w:spacing w:line="240" w:lineRule="auto"/>
              <w:ind w:firstLine="0" w:firstLineChars="0"/>
              <w:jc w:val="center"/>
              <w:rPr>
                <w:rFonts w:ascii="宋体" w:hAnsi="宋体" w:eastAsia="宋体"/>
                <w:b/>
                <w:bCs/>
                <w:sz w:val="21"/>
                <w:szCs w:val="21"/>
              </w:rPr>
            </w:pPr>
            <w:r>
              <w:rPr>
                <w:rFonts w:hint="eastAsia" w:ascii="宋体" w:hAnsi="宋体" w:eastAsia="宋体"/>
                <w:b/>
                <w:bCs/>
                <w:sz w:val="21"/>
                <w:szCs w:val="21"/>
              </w:rPr>
              <w:t>土壤</w:t>
            </w:r>
          </w:p>
          <w:p>
            <w:pPr>
              <w:spacing w:line="240" w:lineRule="auto"/>
              <w:ind w:firstLine="0" w:firstLineChars="0"/>
              <w:jc w:val="center"/>
              <w:rPr>
                <w:rFonts w:ascii="宋体" w:hAnsi="宋体" w:eastAsia="宋体"/>
                <w:b/>
                <w:bCs/>
                <w:sz w:val="21"/>
                <w:szCs w:val="21"/>
              </w:rPr>
            </w:pPr>
            <w:r>
              <w:rPr>
                <w:rFonts w:hint="eastAsia" w:ascii="宋体" w:hAnsi="宋体" w:eastAsia="宋体"/>
                <w:b/>
                <w:bCs/>
                <w:sz w:val="21"/>
                <w:szCs w:val="21"/>
              </w:rPr>
              <w:t>生态环境</w:t>
            </w:r>
          </w:p>
        </w:tc>
        <w:tc>
          <w:tcPr>
            <w:tcW w:w="1794"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受污染耕地安全利用率</w:t>
            </w:r>
          </w:p>
        </w:tc>
        <w:tc>
          <w:tcPr>
            <w:tcW w:w="802"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100%</w:t>
            </w:r>
          </w:p>
        </w:tc>
        <w:tc>
          <w:tcPr>
            <w:tcW w:w="1064"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95.2%以上</w:t>
            </w:r>
            <w:r>
              <w:rPr>
                <w:rFonts w:hint="eastAsia" w:ascii="宋体" w:hAnsi="宋体" w:eastAsia="宋体"/>
                <w:sz w:val="21"/>
                <w:szCs w:val="21"/>
                <w:vertAlign w:val="superscript"/>
              </w:rPr>
              <w:t>1</w:t>
            </w:r>
          </w:p>
        </w:tc>
        <w:tc>
          <w:tcPr>
            <w:tcW w:w="669"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约束性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69" w:type="pct"/>
            <w:vMerge w:val="continue"/>
            <w:tcBorders>
              <w:tl2br w:val="nil"/>
              <w:tr2bl w:val="nil"/>
            </w:tcBorders>
            <w:shd w:val="clear" w:color="auto" w:fill="auto"/>
            <w:vAlign w:val="center"/>
          </w:tcPr>
          <w:p>
            <w:pPr>
              <w:spacing w:line="240" w:lineRule="auto"/>
              <w:ind w:firstLine="0" w:firstLineChars="0"/>
              <w:jc w:val="center"/>
              <w:rPr>
                <w:rFonts w:ascii="宋体" w:hAnsi="宋体" w:eastAsia="宋体"/>
                <w:b/>
                <w:bCs/>
                <w:sz w:val="21"/>
                <w:szCs w:val="21"/>
              </w:rPr>
            </w:pPr>
          </w:p>
        </w:tc>
        <w:tc>
          <w:tcPr>
            <w:tcW w:w="1794"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重点建设用地安全利用</w:t>
            </w:r>
            <w:r>
              <w:rPr>
                <w:rFonts w:hint="eastAsia" w:ascii="宋体" w:hAnsi="宋体" w:eastAsia="宋体"/>
                <w:sz w:val="21"/>
                <w:szCs w:val="21"/>
                <w:vertAlign w:val="superscript"/>
              </w:rPr>
              <w:t>2</w:t>
            </w:r>
          </w:p>
        </w:tc>
        <w:tc>
          <w:tcPr>
            <w:tcW w:w="802"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w:t>
            </w:r>
          </w:p>
        </w:tc>
        <w:tc>
          <w:tcPr>
            <w:tcW w:w="1064"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有效保障</w:t>
            </w:r>
          </w:p>
        </w:tc>
        <w:tc>
          <w:tcPr>
            <w:tcW w:w="669"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约束性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69" w:type="pct"/>
            <w:vMerge w:val="restart"/>
            <w:tcBorders>
              <w:tl2br w:val="nil"/>
              <w:tr2bl w:val="nil"/>
            </w:tcBorders>
            <w:shd w:val="clear" w:color="auto" w:fill="auto"/>
            <w:vAlign w:val="center"/>
          </w:tcPr>
          <w:p>
            <w:pPr>
              <w:spacing w:line="240" w:lineRule="auto"/>
              <w:ind w:firstLine="0" w:firstLineChars="0"/>
              <w:jc w:val="center"/>
              <w:rPr>
                <w:rFonts w:ascii="宋体" w:hAnsi="宋体" w:eastAsia="宋体"/>
                <w:b/>
                <w:bCs/>
                <w:sz w:val="21"/>
                <w:szCs w:val="21"/>
              </w:rPr>
            </w:pPr>
            <w:r>
              <w:rPr>
                <w:rFonts w:hint="eastAsia" w:ascii="宋体" w:hAnsi="宋体" w:eastAsia="宋体"/>
                <w:b/>
                <w:bCs/>
                <w:sz w:val="21"/>
                <w:szCs w:val="21"/>
              </w:rPr>
              <w:t>地下水</w:t>
            </w:r>
          </w:p>
          <w:p>
            <w:pPr>
              <w:spacing w:line="240" w:lineRule="auto"/>
              <w:ind w:firstLine="0" w:firstLineChars="0"/>
              <w:jc w:val="center"/>
              <w:rPr>
                <w:rFonts w:ascii="宋体" w:hAnsi="宋体" w:eastAsia="宋体"/>
                <w:b/>
                <w:bCs/>
                <w:sz w:val="21"/>
                <w:szCs w:val="21"/>
              </w:rPr>
            </w:pPr>
            <w:r>
              <w:rPr>
                <w:rFonts w:hint="eastAsia" w:ascii="宋体" w:hAnsi="宋体" w:eastAsia="宋体"/>
                <w:b/>
                <w:bCs/>
                <w:sz w:val="21"/>
                <w:szCs w:val="21"/>
              </w:rPr>
              <w:t>生态环境</w:t>
            </w:r>
          </w:p>
        </w:tc>
        <w:tc>
          <w:tcPr>
            <w:tcW w:w="1794"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地下水国控点位V类水比例</w:t>
            </w:r>
            <w:r>
              <w:rPr>
                <w:rFonts w:hint="eastAsia" w:ascii="宋体" w:hAnsi="宋体" w:eastAsia="宋体"/>
                <w:sz w:val="21"/>
                <w:szCs w:val="21"/>
                <w:vertAlign w:val="superscript"/>
              </w:rPr>
              <w:t>3</w:t>
            </w:r>
          </w:p>
        </w:tc>
        <w:tc>
          <w:tcPr>
            <w:tcW w:w="802"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33.3%</w:t>
            </w:r>
          </w:p>
        </w:tc>
        <w:tc>
          <w:tcPr>
            <w:tcW w:w="1064"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达到长春市要求</w:t>
            </w:r>
          </w:p>
        </w:tc>
        <w:tc>
          <w:tcPr>
            <w:tcW w:w="669"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预期性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69" w:type="pct"/>
            <w:vMerge w:val="continue"/>
            <w:tcBorders>
              <w:tl2br w:val="nil"/>
              <w:tr2bl w:val="nil"/>
            </w:tcBorders>
            <w:shd w:val="clear" w:color="auto" w:fill="auto"/>
            <w:vAlign w:val="center"/>
          </w:tcPr>
          <w:p>
            <w:pPr>
              <w:spacing w:line="240" w:lineRule="auto"/>
              <w:ind w:firstLine="0" w:firstLineChars="0"/>
              <w:jc w:val="center"/>
              <w:rPr>
                <w:rFonts w:ascii="宋体" w:hAnsi="宋体" w:eastAsia="宋体"/>
                <w:b/>
                <w:bCs/>
                <w:sz w:val="21"/>
                <w:szCs w:val="21"/>
              </w:rPr>
            </w:pPr>
          </w:p>
        </w:tc>
        <w:tc>
          <w:tcPr>
            <w:tcW w:w="1794"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“双源”点位水质</w:t>
            </w:r>
          </w:p>
        </w:tc>
        <w:tc>
          <w:tcPr>
            <w:tcW w:w="802"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w:t>
            </w:r>
          </w:p>
        </w:tc>
        <w:tc>
          <w:tcPr>
            <w:tcW w:w="1064"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总体保持稳定</w:t>
            </w:r>
          </w:p>
        </w:tc>
        <w:tc>
          <w:tcPr>
            <w:tcW w:w="669"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预期性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69" w:type="pct"/>
            <w:vMerge w:val="restart"/>
            <w:tcBorders>
              <w:tl2br w:val="nil"/>
              <w:tr2bl w:val="nil"/>
            </w:tcBorders>
            <w:shd w:val="clear" w:color="auto" w:fill="auto"/>
            <w:vAlign w:val="center"/>
          </w:tcPr>
          <w:p>
            <w:pPr>
              <w:spacing w:line="240" w:lineRule="auto"/>
              <w:ind w:firstLine="0" w:firstLineChars="0"/>
              <w:jc w:val="center"/>
              <w:rPr>
                <w:rFonts w:ascii="宋体" w:hAnsi="宋体" w:eastAsia="宋体"/>
                <w:b/>
                <w:bCs/>
                <w:sz w:val="21"/>
                <w:szCs w:val="21"/>
                <w:lang w:val="zh-CN"/>
              </w:rPr>
            </w:pPr>
            <w:r>
              <w:rPr>
                <w:rFonts w:hint="eastAsia" w:ascii="宋体" w:hAnsi="宋体" w:eastAsia="宋体"/>
                <w:b/>
                <w:bCs/>
                <w:sz w:val="21"/>
                <w:szCs w:val="21"/>
                <w:lang w:val="zh-CN"/>
              </w:rPr>
              <w:t>农业农村</w:t>
            </w:r>
          </w:p>
          <w:p>
            <w:pPr>
              <w:spacing w:line="240" w:lineRule="auto"/>
              <w:ind w:firstLine="0" w:firstLineChars="0"/>
              <w:jc w:val="center"/>
              <w:rPr>
                <w:rFonts w:ascii="宋体" w:hAnsi="宋体" w:eastAsia="宋体"/>
                <w:b/>
                <w:bCs/>
                <w:sz w:val="21"/>
                <w:szCs w:val="21"/>
                <w:lang w:val="zh-CN"/>
              </w:rPr>
            </w:pPr>
            <w:r>
              <w:rPr>
                <w:rFonts w:hint="eastAsia" w:ascii="宋体" w:hAnsi="宋体" w:eastAsia="宋体"/>
                <w:b/>
                <w:bCs/>
                <w:sz w:val="21"/>
                <w:szCs w:val="21"/>
                <w:lang w:val="zh-CN"/>
              </w:rPr>
              <w:t>生态环境</w:t>
            </w:r>
          </w:p>
        </w:tc>
        <w:tc>
          <w:tcPr>
            <w:tcW w:w="1794"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主要农作物化肥利用率</w:t>
            </w:r>
          </w:p>
        </w:tc>
        <w:tc>
          <w:tcPr>
            <w:tcW w:w="802"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39%</w:t>
            </w:r>
          </w:p>
        </w:tc>
        <w:tc>
          <w:tcPr>
            <w:tcW w:w="1064"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43%</w:t>
            </w:r>
          </w:p>
        </w:tc>
        <w:tc>
          <w:tcPr>
            <w:tcW w:w="669"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预期性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69" w:type="pct"/>
            <w:vMerge w:val="continue"/>
            <w:tcBorders>
              <w:tl2br w:val="nil"/>
              <w:tr2bl w:val="nil"/>
            </w:tcBorders>
            <w:shd w:val="clear" w:color="auto" w:fill="auto"/>
            <w:vAlign w:val="center"/>
          </w:tcPr>
          <w:p>
            <w:pPr>
              <w:spacing w:line="240" w:lineRule="auto"/>
              <w:ind w:firstLine="0" w:firstLineChars="0"/>
              <w:jc w:val="center"/>
              <w:rPr>
                <w:rFonts w:ascii="宋体" w:hAnsi="宋体" w:eastAsia="宋体"/>
                <w:b/>
                <w:bCs/>
                <w:sz w:val="21"/>
                <w:szCs w:val="21"/>
              </w:rPr>
            </w:pPr>
          </w:p>
        </w:tc>
        <w:tc>
          <w:tcPr>
            <w:tcW w:w="1794"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主要农作物农药利用率</w:t>
            </w:r>
          </w:p>
        </w:tc>
        <w:tc>
          <w:tcPr>
            <w:tcW w:w="802"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39%</w:t>
            </w:r>
          </w:p>
        </w:tc>
        <w:tc>
          <w:tcPr>
            <w:tcW w:w="1064"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43%</w:t>
            </w:r>
          </w:p>
        </w:tc>
        <w:tc>
          <w:tcPr>
            <w:tcW w:w="669"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预期性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69" w:type="pct"/>
            <w:vMerge w:val="continue"/>
            <w:tcBorders>
              <w:tl2br w:val="nil"/>
              <w:tr2bl w:val="nil"/>
            </w:tcBorders>
            <w:shd w:val="clear" w:color="auto" w:fill="auto"/>
            <w:vAlign w:val="center"/>
          </w:tcPr>
          <w:p>
            <w:pPr>
              <w:spacing w:line="240" w:lineRule="auto"/>
              <w:ind w:firstLine="0" w:firstLineChars="0"/>
              <w:jc w:val="center"/>
              <w:rPr>
                <w:rFonts w:ascii="宋体" w:hAnsi="宋体" w:eastAsia="宋体"/>
                <w:b/>
                <w:bCs/>
                <w:sz w:val="21"/>
                <w:szCs w:val="21"/>
              </w:rPr>
            </w:pPr>
          </w:p>
        </w:tc>
        <w:tc>
          <w:tcPr>
            <w:tcW w:w="1794"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农村环境整治村庄数量</w:t>
            </w:r>
          </w:p>
        </w:tc>
        <w:tc>
          <w:tcPr>
            <w:tcW w:w="802"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1875个</w:t>
            </w:r>
          </w:p>
        </w:tc>
        <w:tc>
          <w:tcPr>
            <w:tcW w:w="1064"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稳步增加</w:t>
            </w:r>
          </w:p>
        </w:tc>
        <w:tc>
          <w:tcPr>
            <w:tcW w:w="669"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预期性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69" w:type="pct"/>
            <w:vMerge w:val="continue"/>
            <w:tcBorders>
              <w:tl2br w:val="nil"/>
              <w:tr2bl w:val="nil"/>
            </w:tcBorders>
            <w:shd w:val="clear" w:color="auto" w:fill="auto"/>
            <w:vAlign w:val="center"/>
          </w:tcPr>
          <w:p>
            <w:pPr>
              <w:spacing w:line="240" w:lineRule="auto"/>
              <w:ind w:firstLine="0" w:firstLineChars="0"/>
              <w:jc w:val="center"/>
              <w:rPr>
                <w:rFonts w:ascii="宋体" w:hAnsi="宋体" w:eastAsia="宋体"/>
                <w:b/>
                <w:bCs/>
                <w:sz w:val="21"/>
                <w:szCs w:val="21"/>
              </w:rPr>
            </w:pPr>
          </w:p>
        </w:tc>
        <w:tc>
          <w:tcPr>
            <w:tcW w:w="1794"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农村生活污水治理率</w:t>
            </w:r>
            <w:r>
              <w:rPr>
                <w:rFonts w:hint="eastAsia" w:ascii="宋体" w:hAnsi="宋体" w:eastAsia="宋体"/>
                <w:sz w:val="21"/>
                <w:szCs w:val="21"/>
                <w:vertAlign w:val="superscript"/>
              </w:rPr>
              <w:t>4</w:t>
            </w:r>
          </w:p>
        </w:tc>
        <w:tc>
          <w:tcPr>
            <w:tcW w:w="802"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18%</w:t>
            </w:r>
          </w:p>
        </w:tc>
        <w:tc>
          <w:tcPr>
            <w:tcW w:w="1064"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25%</w:t>
            </w:r>
          </w:p>
        </w:tc>
        <w:tc>
          <w:tcPr>
            <w:tcW w:w="669"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预期性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669" w:type="pct"/>
            <w:vMerge w:val="continue"/>
            <w:tcBorders>
              <w:tl2br w:val="nil"/>
              <w:tr2bl w:val="nil"/>
            </w:tcBorders>
            <w:shd w:val="clear" w:color="auto" w:fill="auto"/>
            <w:vAlign w:val="center"/>
          </w:tcPr>
          <w:p>
            <w:pPr>
              <w:spacing w:line="240" w:lineRule="auto"/>
              <w:ind w:firstLine="0" w:firstLineChars="0"/>
              <w:jc w:val="center"/>
              <w:rPr>
                <w:rFonts w:ascii="宋体" w:hAnsi="宋体" w:eastAsia="宋体"/>
                <w:b/>
                <w:bCs/>
                <w:sz w:val="21"/>
                <w:szCs w:val="21"/>
              </w:rPr>
            </w:pPr>
          </w:p>
        </w:tc>
        <w:tc>
          <w:tcPr>
            <w:tcW w:w="1794"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农村黑臭水体整治率</w:t>
            </w:r>
          </w:p>
        </w:tc>
        <w:tc>
          <w:tcPr>
            <w:tcW w:w="802"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w:t>
            </w:r>
          </w:p>
        </w:tc>
        <w:tc>
          <w:tcPr>
            <w:tcW w:w="1064"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达到长春市要求</w:t>
            </w:r>
          </w:p>
        </w:tc>
        <w:tc>
          <w:tcPr>
            <w:tcW w:w="669" w:type="pct"/>
            <w:tcBorders>
              <w:tl2br w:val="nil"/>
              <w:tr2bl w:val="nil"/>
            </w:tcBorders>
            <w:shd w:val="clear" w:color="auto" w:fill="auto"/>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预期性</w:t>
            </w:r>
          </w:p>
        </w:tc>
      </w:tr>
    </w:tbl>
    <w:p>
      <w:pPr>
        <w:spacing w:line="240" w:lineRule="auto"/>
        <w:ind w:left="420" w:hanging="420" w:hangingChars="200"/>
        <w:rPr>
          <w:rFonts w:ascii="仿宋" w:hAnsi="仿宋" w:cs="仿宋"/>
          <w:sz w:val="21"/>
          <w:szCs w:val="21"/>
        </w:rPr>
      </w:pPr>
      <w:r>
        <w:rPr>
          <w:rFonts w:hint="eastAsia" w:ascii="仿宋" w:hAnsi="仿宋" w:cs="仿宋"/>
          <w:sz w:val="21"/>
          <w:szCs w:val="21"/>
        </w:rPr>
        <w:t>注：</w:t>
      </w:r>
      <w:r>
        <w:rPr>
          <w:rFonts w:ascii="仿宋" w:hAnsi="仿宋" w:cs="仿宋"/>
          <w:sz w:val="21"/>
          <w:szCs w:val="21"/>
        </w:rPr>
        <w:t>1</w:t>
      </w:r>
      <w:r>
        <w:rPr>
          <w:rFonts w:hint="eastAsia" w:ascii="仿宋" w:hAnsi="仿宋" w:cs="仿宋"/>
          <w:sz w:val="21"/>
          <w:szCs w:val="21"/>
        </w:rPr>
        <w:t>“受污染耕地安全利用率”指标要求由国家统一下发，“十四五”期间，长春市受污染耕地安全利用率任务目标为95.2%以上。</w:t>
      </w:r>
    </w:p>
    <w:p>
      <w:pPr>
        <w:spacing w:line="240" w:lineRule="auto"/>
        <w:ind w:left="560" w:leftChars="200" w:firstLine="0" w:firstLineChars="0"/>
        <w:rPr>
          <w:rFonts w:ascii="仿宋" w:hAnsi="仿宋" w:cs="仿宋"/>
          <w:sz w:val="21"/>
          <w:szCs w:val="21"/>
        </w:rPr>
      </w:pPr>
      <w:r>
        <w:rPr>
          <w:rFonts w:ascii="仿宋" w:hAnsi="仿宋" w:cs="仿宋"/>
          <w:sz w:val="21"/>
          <w:szCs w:val="21"/>
        </w:rPr>
        <w:t>2</w:t>
      </w:r>
      <w:r>
        <w:rPr>
          <w:rFonts w:hint="eastAsia" w:ascii="仿宋" w:hAnsi="仿宋" w:cs="仿宋"/>
          <w:sz w:val="21"/>
          <w:szCs w:val="21"/>
        </w:rPr>
        <w:t>重点建设用地指用途变更为住宅、公共管理与公共服务用地的所有地块。</w:t>
      </w:r>
    </w:p>
    <w:p>
      <w:pPr>
        <w:spacing w:line="240" w:lineRule="auto"/>
        <w:ind w:left="560" w:leftChars="200" w:firstLine="0" w:firstLineChars="0"/>
        <w:rPr>
          <w:rFonts w:cs="Times New Roman"/>
          <w:sz w:val="21"/>
          <w:szCs w:val="21"/>
        </w:rPr>
      </w:pPr>
      <w:r>
        <w:rPr>
          <w:rFonts w:ascii="仿宋" w:hAnsi="仿宋" w:cs="仿宋"/>
          <w:sz w:val="21"/>
          <w:szCs w:val="21"/>
        </w:rPr>
        <w:t>3</w:t>
      </w:r>
      <w:r>
        <w:rPr>
          <w:rFonts w:hint="eastAsia" w:ascii="仿宋" w:hAnsi="仿宋" w:cs="仿宋"/>
          <w:sz w:val="21"/>
          <w:szCs w:val="21"/>
        </w:rPr>
        <w:t>地下水国控点位Ⅴ类水比例指国家级地下水质区域监测点位中，水质为Ⅴ类的点位所占比例。</w:t>
      </w:r>
    </w:p>
    <w:p>
      <w:pPr>
        <w:spacing w:line="240" w:lineRule="auto"/>
        <w:ind w:left="560" w:leftChars="200" w:firstLine="0" w:firstLineChars="0"/>
      </w:pPr>
      <w:r>
        <w:rPr>
          <w:rFonts w:hint="eastAsia" w:ascii="仿宋" w:hAnsi="仿宋" w:cs="仿宋"/>
          <w:sz w:val="21"/>
          <w:szCs w:val="21"/>
        </w:rPr>
        <w:t>4农村生活污水治理率是指生活污水得到处理和资源化利用的行政村数占行政村总数的比例。</w:t>
      </w:r>
    </w:p>
    <w:p>
      <w:pPr>
        <w:pStyle w:val="4"/>
      </w:pPr>
      <w:bookmarkStart w:id="15" w:name="_Toc25099"/>
      <w:r>
        <w:rPr>
          <w:rFonts w:hint="eastAsia"/>
        </w:rPr>
        <w:t>三、主要任务</w:t>
      </w:r>
      <w:bookmarkEnd w:id="15"/>
    </w:p>
    <w:p>
      <w:pPr>
        <w:pStyle w:val="5"/>
      </w:pPr>
      <w:bookmarkStart w:id="16" w:name="_Toc8582"/>
      <w:r>
        <w:rPr>
          <w:rFonts w:hint="eastAsia"/>
        </w:rPr>
        <w:t>（一）持续推进土壤污染防治</w:t>
      </w:r>
      <w:bookmarkEnd w:id="16"/>
    </w:p>
    <w:p>
      <w:pPr>
        <w:ind w:firstLine="560"/>
      </w:pPr>
      <w:r>
        <w:rPr>
          <w:rFonts w:hint="eastAsia"/>
        </w:rPr>
        <w:t>按照“控源头、防新增、重监管、保安全”的思路，强化镉等重金属污染源头管控，巩固提升受污染耕地安全利用水平；以用途变更为“一住两公”（住宅、公共管理与公共服务用地）的地块为重点，严格准入管理，坚决杜绝违规开发利用；以土壤污染重点监管单位为重点，强化监管执法，防治新增土壤污染。</w:t>
      </w:r>
    </w:p>
    <w:p>
      <w:pPr>
        <w:pStyle w:val="6"/>
        <w:ind w:firstLine="562"/>
      </w:pPr>
      <w:bookmarkStart w:id="17" w:name="_Toc28193"/>
      <w:r>
        <w:rPr>
          <w:rFonts w:hint="eastAsia"/>
        </w:rPr>
        <w:t>1、强化土壤污染源头预防和控制</w:t>
      </w:r>
      <w:bookmarkEnd w:id="17"/>
    </w:p>
    <w:p>
      <w:pPr>
        <w:ind w:firstLine="562"/>
      </w:pPr>
      <w:r>
        <w:rPr>
          <w:rFonts w:hint="eastAsia"/>
          <w:b/>
          <w:bCs/>
        </w:rPr>
        <w:t>持续推进耕地周边涉镉等重金属行业企业排查整治。</w:t>
      </w:r>
      <w:r>
        <w:rPr>
          <w:rFonts w:hint="eastAsia"/>
        </w:rPr>
        <w:t>配合开展动态更新重点区域和污染源排查整治清单工作，积极配合编制整治方案，完成整治工作，保障粮食安全。</w:t>
      </w:r>
    </w:p>
    <w:p>
      <w:pPr>
        <w:ind w:firstLine="562"/>
      </w:pPr>
      <w:r>
        <w:rPr>
          <w:rFonts w:hint="eastAsia"/>
          <w:b/>
          <w:bCs/>
        </w:rPr>
        <w:t>严格控制涉重金属污染物排放。</w:t>
      </w:r>
      <w:r>
        <w:rPr>
          <w:rFonts w:hint="eastAsia"/>
        </w:rPr>
        <w:t>已有涉重企业要严格落实排污许可制度，定期开展清洁生产审核，及时排查整治土壤和地下水污染隐患。新增涉重项目应遵循“减量置换”或“等量置换”原则，执行环境影响评价制度，落实重金属污染物排放标准及总量控制制度。根据相关法律以及重点排污单位名录管理有关规定，将符合筛选条件的排放镉等有毒有害大气、水污染物的企业纳入大气、水污染物重点排污单位名录。对纳入大气重点排污单位名录的涉镉等重金属排放企业，对大气污染物中的颗粒物按排污许可证规定实现自动监测，并与生态环境主管部门的监控设备联网。2023年底前，对大气污染物中的颗粒物按规定实现在线自动监测，并与生态环境部门监控设备联网。严格控制耕地周边涉重工矿企业污染物排放，鼓励企业开展重金属污染物减排和提标改造。</w:t>
      </w:r>
    </w:p>
    <w:p>
      <w:pPr>
        <w:ind w:firstLine="562"/>
      </w:pPr>
      <w:r>
        <w:rPr>
          <w:rFonts w:hint="eastAsia"/>
          <w:b/>
          <w:bCs/>
        </w:rPr>
        <w:t>整治涉重金属矿区历史遗留固体废物。</w:t>
      </w:r>
      <w:r>
        <w:rPr>
          <w:rFonts w:hint="eastAsia"/>
        </w:rPr>
        <w:t>聚焦重有色金属、石煤、硫铁矿等矿区以及安全利用类和严格管控类耕地集中区域周边的矿区，综合应用卫星遥感、高清视频监控、无人机和现场踏勘等方式，全面排查矿区无序堆存的历史遗留废物。“十四五”期间，围绕德惠市3489亩安全利用类耕地，优先整治周边及下游耕地土壤污染较重的矿区，有效切断污染物进入农田的链条。</w:t>
      </w:r>
    </w:p>
    <w:p>
      <w:pPr>
        <w:pStyle w:val="6"/>
        <w:ind w:firstLine="562"/>
      </w:pPr>
      <w:bookmarkStart w:id="18" w:name="_Toc9948"/>
      <w:r>
        <w:rPr>
          <w:rFonts w:hint="eastAsia"/>
        </w:rPr>
        <w:t>2、防范工矿企业用地新增土壤污染</w:t>
      </w:r>
      <w:bookmarkEnd w:id="18"/>
    </w:p>
    <w:p>
      <w:pPr>
        <w:ind w:firstLine="562"/>
      </w:pPr>
      <w:r>
        <w:rPr>
          <w:rFonts w:hint="eastAsia"/>
          <w:b/>
          <w:bCs/>
        </w:rPr>
        <w:t>严格建设项目土壤环境影响评价制度。</w:t>
      </w:r>
      <w:r>
        <w:rPr>
          <w:rFonts w:hint="eastAsia"/>
        </w:rPr>
        <w:t>对涉及有毒有害物质可能造成土壤污染的新（改、扩）建项目，依法进行环境影响评价，提出并落实防腐蚀、防渗漏、防遗撒等土壤污染防治具体措施。</w:t>
      </w:r>
    </w:p>
    <w:p>
      <w:pPr>
        <w:ind w:firstLine="562"/>
      </w:pPr>
      <w:r>
        <w:rPr>
          <w:rFonts w:hint="eastAsia"/>
          <w:b/>
          <w:bCs/>
        </w:rPr>
        <w:t>强化重点监管单位监管。</w:t>
      </w:r>
      <w:r>
        <w:rPr>
          <w:rFonts w:hint="eastAsia"/>
        </w:rPr>
        <w:t>根据典型行业有毒有害物质排放、腾退地块土壤污染情况、重点行业企业用地土壤污染状况调查结果，动态更新土壤污染重点监管单位名录，监督土壤污染重点监管单位全面落实土壤污染防治义务，依法纳入排污许可管理。定期开展土壤污染重点监管单位周边土壤环境监测。2025年底前，完成土壤和地下水隐患排查整改。</w:t>
      </w:r>
    </w:p>
    <w:p>
      <w:pPr>
        <w:pStyle w:val="6"/>
        <w:ind w:firstLine="562"/>
      </w:pPr>
      <w:bookmarkStart w:id="19" w:name="_Toc8696"/>
      <w:r>
        <w:rPr>
          <w:rFonts w:hint="eastAsia"/>
        </w:rPr>
        <w:t>3、深入实施农用地分类管理</w:t>
      </w:r>
      <w:bookmarkEnd w:id="19"/>
    </w:p>
    <w:p>
      <w:pPr>
        <w:ind w:firstLine="562"/>
        <w:rPr>
          <w:rFonts w:ascii="仿宋" w:hAnsi="仿宋" w:cs="仿宋"/>
          <w:szCs w:val="36"/>
        </w:rPr>
      </w:pPr>
      <w:bookmarkStart w:id="20" w:name="_Toc92722207"/>
      <w:bookmarkStart w:id="21" w:name="_Toc5079"/>
      <w:bookmarkStart w:id="22" w:name="_Toc17303"/>
      <w:r>
        <w:rPr>
          <w:rFonts w:hint="eastAsia" w:ascii="仿宋" w:hAnsi="仿宋" w:cs="仿宋"/>
          <w:b/>
          <w:bCs/>
          <w:szCs w:val="36"/>
        </w:rPr>
        <w:t>切实加大黑土地保护力度。</w:t>
      </w:r>
      <w:r>
        <w:rPr>
          <w:rFonts w:hint="eastAsia" w:ascii="仿宋" w:hAnsi="仿宋" w:cs="仿宋"/>
          <w:szCs w:val="36"/>
        </w:rPr>
        <w:t>贯彻落实《中华人民共和国黑土地保护法》《吉林省黑土地保护条例》，制定黑土地保护规划，持续实施黑土地保护行动，强化治理，阻控污染，保障黑土区土壤资源安全和生态安全，提升农业生态环境的可持续性发展。加强黑土地保护治理的技术创新研究和示范推广，推广以秸秆安全还田、有机肥施用为核心的固碳增汇型土壤培肥技术，推广作物轮作及间混套种等生态栽培模式与关键技术，恢复提高土壤有机质含量。按照“增、保、养、调”的技术路线，推广以玉米秸秆全量粉碎翻压还田技术为核心、养分调控、米豆轮作、增施有机肥等多项技术配套实施的黑土地保护技术模式，促进黑土地恢复和保护。2025年底前，完成长春市下达的有机食品和绿色食品生产基地建设指标。确保黑土地在利用中得到保护，坚持基本农田总量不减，推进现代化高标准农田建设，保证耕地总量动态平衡。</w:t>
      </w:r>
    </w:p>
    <w:p>
      <w:pPr>
        <w:ind w:firstLine="562"/>
        <w:rPr>
          <w:rFonts w:ascii="仿宋" w:hAnsi="仿宋" w:cs="仿宋"/>
          <w:szCs w:val="36"/>
          <w:lang w:val="zh-CN"/>
        </w:rPr>
      </w:pPr>
      <w:r>
        <w:rPr>
          <w:rFonts w:hint="eastAsia" w:ascii="仿宋" w:hAnsi="仿宋" w:cs="仿宋"/>
          <w:b/>
          <w:bCs/>
          <w:szCs w:val="36"/>
        </w:rPr>
        <w:t>全面落实安全利用和严格管控措施。</w:t>
      </w:r>
      <w:r>
        <w:rPr>
          <w:rFonts w:hint="eastAsia" w:ascii="仿宋" w:hAnsi="仿宋" w:cs="仿宋"/>
          <w:szCs w:val="36"/>
        </w:rPr>
        <w:t>长春市将德惠市受污染耕地安全利用区和严格管控区作为重点，配合制定受污染耕地安全利用方案及年度工作计划，明确并落实德惠市内安全利用类耕地和严格管控类的具体管控措施。</w:t>
      </w:r>
      <w:r>
        <w:rPr>
          <w:rFonts w:hint="eastAsia" w:ascii="仿宋" w:hAnsi="仿宋" w:cs="仿宋"/>
          <w:szCs w:val="36"/>
          <w:lang w:val="zh-CN"/>
        </w:rPr>
        <w:t>对严格管控类耕地开展种植结构调整或在国家批准的规模和范围内实施退耕还林还草。到2025年，受污染耕地安全利用率达到长春</w:t>
      </w:r>
      <w:r>
        <w:rPr>
          <w:rFonts w:hint="eastAsia" w:ascii="仿宋" w:hAnsi="仿宋" w:cs="仿宋"/>
          <w:szCs w:val="36"/>
        </w:rPr>
        <w:t>市要求</w:t>
      </w:r>
      <w:r>
        <w:rPr>
          <w:rFonts w:hint="eastAsia" w:ascii="仿宋" w:hAnsi="仿宋" w:cs="仿宋"/>
          <w:szCs w:val="36"/>
          <w:lang w:val="zh-CN"/>
        </w:rPr>
        <w:t>。</w:t>
      </w:r>
    </w:p>
    <w:p>
      <w:pPr>
        <w:ind w:firstLine="562"/>
        <w:rPr>
          <w:rFonts w:ascii="仿宋" w:hAnsi="仿宋" w:cs="仿宋"/>
          <w:szCs w:val="36"/>
        </w:rPr>
      </w:pPr>
      <w:r>
        <w:rPr>
          <w:rFonts w:hint="eastAsia" w:ascii="仿宋" w:hAnsi="仿宋" w:cs="仿宋"/>
          <w:b/>
          <w:bCs/>
          <w:szCs w:val="36"/>
        </w:rPr>
        <w:t>动态调整耕地土壤环境质量类别。</w:t>
      </w:r>
      <w:r>
        <w:rPr>
          <w:rFonts w:hint="eastAsia" w:ascii="仿宋" w:hAnsi="仿宋" w:cs="仿宋"/>
          <w:szCs w:val="36"/>
        </w:rPr>
        <w:t>根据土地利用变更、土壤和农产品协同监测结果等，配合长春市动态调整土壤环境质量类别。原则上禁止曾用于生产、使用、贮存、回收、处置有毒有害物质的工矿用地复垦为种植食用农产品耕地。</w:t>
      </w:r>
    </w:p>
    <w:p>
      <w:pPr>
        <w:pStyle w:val="6"/>
        <w:ind w:firstLine="562"/>
      </w:pPr>
      <w:bookmarkStart w:id="23" w:name="_Toc32234"/>
      <w:r>
        <w:rPr>
          <w:rFonts w:hint="eastAsia"/>
        </w:rPr>
        <w:t>4、严格建设用地准入管理</w:t>
      </w:r>
      <w:bookmarkEnd w:id="20"/>
      <w:bookmarkEnd w:id="23"/>
    </w:p>
    <w:p>
      <w:pPr>
        <w:spacing w:line="240" w:lineRule="auto"/>
        <w:ind w:firstLine="562"/>
        <w:rPr>
          <w:rFonts w:ascii="仿宋" w:hAnsi="仿宋" w:cs="仿宋"/>
          <w:szCs w:val="36"/>
        </w:rPr>
      </w:pPr>
      <w:r>
        <w:rPr>
          <w:rFonts w:hint="eastAsia" w:ascii="仿宋" w:hAnsi="仿宋" w:cs="仿宋"/>
          <w:b/>
          <w:bCs/>
          <w:szCs w:val="36"/>
        </w:rPr>
        <w:t>开展土壤污染状况调查评估。</w:t>
      </w:r>
      <w:r>
        <w:rPr>
          <w:rFonts w:hint="eastAsia" w:ascii="仿宋" w:hAnsi="仿宋" w:cs="仿宋"/>
          <w:szCs w:val="36"/>
        </w:rPr>
        <w:t>以用途变更为“一住两公”的地块为重点，依法开展土壤污染状况调查和风险评估。及时将注销、撤销排污许可证的企业用地纳入监管视野，防止腾退地块游离于监管之外。强化土壤污染状况调查质量管理和监管，探索建立土壤污染状况调查评估等报告抽查机制。</w:t>
      </w:r>
    </w:p>
    <w:p>
      <w:pPr>
        <w:spacing w:line="240" w:lineRule="auto"/>
        <w:ind w:firstLine="562"/>
        <w:rPr>
          <w:rFonts w:ascii="仿宋" w:hAnsi="仿宋" w:cs="仿宋"/>
          <w:szCs w:val="36"/>
        </w:rPr>
      </w:pPr>
      <w:r>
        <w:rPr>
          <w:rFonts w:hint="eastAsia" w:ascii="仿宋" w:hAnsi="仿宋" w:cs="仿宋"/>
          <w:b/>
          <w:bCs/>
          <w:szCs w:val="36"/>
        </w:rPr>
        <w:t>严格污染地块用地准入。</w:t>
      </w:r>
      <w:r>
        <w:rPr>
          <w:rFonts w:hint="eastAsia" w:ascii="仿宋" w:hAnsi="仿宋" w:cs="仿宋"/>
          <w:szCs w:val="36"/>
        </w:rPr>
        <w:t>从事土地开发利用活动，应当采取有效措施，防止、减少土壤污染，并确保建设用地符合土壤环境质量要求。合理规划污染地块用途，从严管控农药、化工等行业中的重度污染地块规划用途，确需开发利用的，鼓励用于拓展生态空间。对列入建设用地土壤污染风险管控和修复名录的地块，不得作为住宅、公共管理与公共服务用地；不得办理土地征收、收回、收购、土地供应以及改变土地用途等手续。依法应当开展土壤污染状况调查或风险评估而未开展或尚未完成的地块，以及未达到土壤污染风险评估报告确定的风险管控、修复目标的地块，不得开工建设与风险管控、修复无关的项目。</w:t>
      </w:r>
    </w:p>
    <w:p>
      <w:pPr>
        <w:spacing w:line="240" w:lineRule="auto"/>
        <w:ind w:firstLine="562"/>
        <w:rPr>
          <w:rFonts w:ascii="仿宋" w:hAnsi="仿宋" w:cs="仿宋"/>
          <w:szCs w:val="36"/>
        </w:rPr>
      </w:pPr>
      <w:r>
        <w:rPr>
          <w:rFonts w:hint="eastAsia" w:ascii="仿宋" w:hAnsi="仿宋" w:cs="仿宋"/>
          <w:b/>
          <w:bCs/>
          <w:szCs w:val="36"/>
        </w:rPr>
        <w:t>强化部门信息共享和联动监管。</w:t>
      </w:r>
      <w:r>
        <w:rPr>
          <w:rFonts w:hint="eastAsia" w:ascii="仿宋" w:hAnsi="仿宋" w:cs="仿宋"/>
          <w:szCs w:val="36"/>
        </w:rPr>
        <w:t>建立完善污染地块数据库及信息平台，共享疑似污染地块及污染地块空间信息。各相关部门应及时共享疑似污染地块、污染地块有关信息，用途变更为“一住两公”的地块信息，土壤污染重点监管单位生产经营用地用途变更或土地使用权收回、转让信息。将疑似污染地块、污染地块空间信息叠加至国土空间规划“一张图”。推动利用卫星遥感等手段开展非现场检查。</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adjustRightInd w:val="0"/>
              <w:snapToGrid w:val="0"/>
              <w:spacing w:beforeLines="50"/>
              <w:ind w:firstLine="0" w:firstLineChars="0"/>
              <w:jc w:val="center"/>
              <w:rPr>
                <w:rFonts w:ascii="宋体" w:hAnsi="宋体" w:eastAsia="宋体"/>
                <w:sz w:val="24"/>
              </w:rPr>
            </w:pPr>
            <w:r>
              <w:rPr>
                <w:rFonts w:hint="eastAsia" w:ascii="宋体" w:hAnsi="宋体" w:eastAsia="宋体"/>
                <w:b/>
                <w:bCs/>
                <w:sz w:val="24"/>
              </w:rPr>
              <w:t>专栏1 土壤生态环境保护工程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ind w:firstLine="482"/>
              <w:jc w:val="left"/>
              <w:rPr>
                <w:rFonts w:ascii="宋体" w:hAnsi="宋体" w:eastAsia="宋体"/>
                <w:sz w:val="24"/>
              </w:rPr>
            </w:pPr>
            <w:r>
              <w:rPr>
                <w:rFonts w:hint="eastAsia" w:ascii="宋体" w:hAnsi="宋体" w:eastAsia="宋体"/>
                <w:b/>
                <w:bCs/>
                <w:sz w:val="24"/>
              </w:rPr>
              <w:t>土壤污染源头防控工程：</w:t>
            </w:r>
            <w:r>
              <w:rPr>
                <w:rFonts w:hint="eastAsia" w:ascii="宋体" w:hAnsi="宋体" w:eastAsia="宋体"/>
                <w:sz w:val="24"/>
              </w:rPr>
              <w:t>以土壤重点监管企业、耕地周边等重点区域为重点，以减少重金属等土壤有毒有害物质排放为目标，推进在产企业生产工艺和设施设备提标改造项目。定期开展土壤重点监管企业周边等重点区域的土壤环境质量监测。</w:t>
            </w:r>
          </w:p>
          <w:p>
            <w:pPr>
              <w:ind w:firstLine="482"/>
              <w:jc w:val="left"/>
              <w:rPr>
                <w:rFonts w:ascii="宋体" w:hAnsi="宋体" w:eastAsia="宋体"/>
                <w:sz w:val="24"/>
              </w:rPr>
            </w:pPr>
            <w:r>
              <w:rPr>
                <w:rFonts w:hint="eastAsia" w:ascii="宋体" w:hAnsi="宋体" w:eastAsia="宋体"/>
                <w:b/>
                <w:bCs/>
                <w:sz w:val="24"/>
              </w:rPr>
              <w:t>黑土地土壤保护治理。</w:t>
            </w:r>
            <w:r>
              <w:rPr>
                <w:rFonts w:hint="eastAsia" w:ascii="宋体" w:hAnsi="宋体" w:eastAsia="宋体"/>
                <w:sz w:val="24"/>
              </w:rPr>
              <w:t>秸秆全量深翻还田等保护性耕作、玉米免耕、水稻综合种养等项目。</w:t>
            </w:r>
          </w:p>
        </w:tc>
      </w:tr>
      <w:bookmarkEnd w:id="21"/>
      <w:bookmarkEnd w:id="22"/>
    </w:tbl>
    <w:p>
      <w:pPr>
        <w:pStyle w:val="5"/>
      </w:pPr>
      <w:bookmarkStart w:id="24" w:name="_Toc2735"/>
      <w:r>
        <w:rPr>
          <w:rFonts w:hint="eastAsia"/>
        </w:rPr>
        <w:t>（二）推进地下水生态环境保护</w:t>
      </w:r>
      <w:bookmarkEnd w:id="24"/>
    </w:p>
    <w:p>
      <w:pPr>
        <w:pStyle w:val="6"/>
        <w:ind w:firstLine="562"/>
      </w:pPr>
      <w:bookmarkStart w:id="25" w:name="_Toc10562"/>
      <w:r>
        <w:rPr>
          <w:rFonts w:hint="eastAsia"/>
        </w:rPr>
        <w:t>1、加强地下水水源环境保护</w:t>
      </w:r>
      <w:bookmarkEnd w:id="25"/>
    </w:p>
    <w:p>
      <w:pPr>
        <w:ind w:firstLine="560"/>
        <w:rPr>
          <w:rFonts w:ascii="仿宋" w:hAnsi="仿宋" w:cs="仿宋"/>
          <w:szCs w:val="36"/>
        </w:rPr>
      </w:pPr>
      <w:r>
        <w:rPr>
          <w:rFonts w:hint="eastAsia" w:ascii="仿宋" w:hAnsi="仿宋" w:cs="仿宋"/>
          <w:szCs w:val="36"/>
        </w:rPr>
        <w:t>保障地下水型饮用水水源环境安全，提高饮用水水源保护区规范化建设水平。以地下水型饮用水源保护区为重点，定期开展可能影响地下水型饮用水源环境安全的化工、造纸、采矿、冶炼、制药等风险源和生活垃圾污水收集治理设施等风险源排查，并采取相应的管控措施。如在重点水源保护区严禁新上排放污水项目，对已有的工业严格限制其排放，采取无污染或少污染的新工艺，减少污染物排放量，做到达标排放；在水源地不得兴建永久性的固体废物堆放场，临时堆放场也要采取必要的防渗措施，处理废水废渣的场所放在城市和水源地下游的不易渗透区域，远离地表水体；合理适当使用氮肥，使所使用的氮肥既满足作物生长又不要过量，提高作物对氮的利用率，实施节水灌溉，减少氮的流失。</w:t>
      </w:r>
    </w:p>
    <w:p>
      <w:pPr>
        <w:ind w:firstLine="560"/>
        <w:rPr>
          <w:rFonts w:ascii="仿宋" w:hAnsi="仿宋" w:cs="仿宋"/>
          <w:szCs w:val="36"/>
        </w:rPr>
      </w:pPr>
      <w:r>
        <w:rPr>
          <w:rFonts w:hint="eastAsia" w:ascii="仿宋" w:hAnsi="仿宋" w:cs="仿宋"/>
          <w:szCs w:val="36"/>
        </w:rPr>
        <w:t>建立地下水污染防治管理体系，完善地下水环境监测网。加强现有地下水环境监测井的维护和管理，完善地下水环境监测数据管理和共享机制。</w:t>
      </w:r>
      <w:r>
        <w:rPr>
          <w:rFonts w:hint="eastAsia" w:ascii="仿宋" w:hAnsi="仿宋" w:cs="仿宋"/>
          <w:color w:val="000000" w:themeColor="text1"/>
          <w:szCs w:val="36"/>
        </w:rPr>
        <w:t>2020年，德惠市纳入省考核的地下水质量考核点位共3处</w:t>
      </w:r>
      <w:r>
        <w:rPr>
          <w:rFonts w:hint="eastAsia" w:ascii="仿宋" w:hAnsi="仿宋" w:cs="仿宋"/>
          <w:szCs w:val="36"/>
        </w:rPr>
        <w:t>，以此为基础，整合建设项目环评要求设置的地下水污染跟踪监测井、地下水型饮用水源开采井、土壤污染状况详查监测井、地下水基础环境状况调查评估监测井、《中华人民共和国水污染防治法》要求的污染源地下水水质监测井等，初步构建全市地下水环境监测网，按照国家和行业相关监测、评价技术规范，开展地下水环境监测。加强地下水监测设备配置，强化监测技术人员培训，提升地下水环境监测能力。针对人为污染造成水质超标的地下水型饮用水水源，采取修复治理措施保障水质达标；对难以恢复饮用水水源功能且经水厂处理水质无法满足标准要求的水源，应按程序撤销、更换。到2025年，城市集中式地下水型饮用水源水质达到或优于Ⅲ类水体比例稳定达到100%。</w:t>
      </w:r>
    </w:p>
    <w:p>
      <w:pPr>
        <w:pStyle w:val="6"/>
        <w:ind w:firstLine="562"/>
      </w:pPr>
      <w:bookmarkStart w:id="26" w:name="_Toc19154"/>
      <w:r>
        <w:rPr>
          <w:rFonts w:hint="eastAsia"/>
        </w:rPr>
        <w:t>2、统筹开展地下水生态环境保护</w:t>
      </w:r>
      <w:bookmarkEnd w:id="26"/>
    </w:p>
    <w:p>
      <w:pPr>
        <w:ind w:firstLine="562"/>
        <w:rPr>
          <w:rFonts w:ascii="仿宋" w:hAnsi="仿宋" w:cs="仿宋"/>
          <w:szCs w:val="36"/>
        </w:rPr>
      </w:pPr>
      <w:r>
        <w:rPr>
          <w:rFonts w:hint="eastAsia" w:ascii="仿宋" w:hAnsi="仿宋" w:cs="仿宋"/>
          <w:b/>
          <w:bCs/>
          <w:szCs w:val="36"/>
        </w:rPr>
        <w:t>重视地表水、地下水污染协同防治。</w:t>
      </w:r>
      <w:r>
        <w:rPr>
          <w:rFonts w:hint="eastAsia" w:ascii="仿宋" w:hAnsi="仿宋" w:cs="仿宋"/>
          <w:szCs w:val="36"/>
        </w:rPr>
        <w:t>加快城镇污水管网更新改造，完善管网收集系统。市内水务及农业等相关管理部门统筹规划农业灌溉取水资源，降低农业面源污染对地下水水质影响，在地下水“三氮”（氨氮、硝酸盐氮、亚硝酸盐氮）超标地区推广测土配方施肥技术，积极推广绿色农业生产技术，发展生态循环农业。</w:t>
      </w:r>
    </w:p>
    <w:p>
      <w:pPr>
        <w:ind w:firstLine="562"/>
        <w:rPr>
          <w:rFonts w:ascii="仿宋" w:hAnsi="仿宋" w:cs="仿宋"/>
          <w:szCs w:val="36"/>
        </w:rPr>
      </w:pPr>
      <w:r>
        <w:rPr>
          <w:rFonts w:hint="eastAsia" w:ascii="仿宋" w:hAnsi="仿宋" w:cs="仿宋"/>
          <w:b/>
          <w:bCs/>
          <w:szCs w:val="36"/>
        </w:rPr>
        <w:t>强化土壤、地下水污染协同防治。</w:t>
      </w:r>
      <w:r>
        <w:rPr>
          <w:rFonts w:hint="eastAsia" w:ascii="仿宋" w:hAnsi="仿宋" w:cs="仿宋"/>
          <w:szCs w:val="36"/>
        </w:rPr>
        <w:t>对安全利用类和严格管控类农用地土壤污染影响或可能影响地下水的，将地下水内容纳入污染防治方案；根据建设用地污染详查结果，对污染物含量超过土壤污染风险管控标准的建设用地，将地下水是否受到污染等内容纳入土壤污染状况调查报告；对列入风险管控和修复名录的建设用地，将地下水污染风险管控和修复内容纳入土壤风险管控措施和修复方案。在污染防治项目立项、实施以及绩效评估等环节，做到统筹安排、同步落实。</w:t>
      </w:r>
    </w:p>
    <w:p>
      <w:pPr>
        <w:ind w:firstLine="562"/>
        <w:rPr>
          <w:rFonts w:ascii="仿宋" w:hAnsi="仿宋" w:cs="仿宋"/>
          <w:szCs w:val="36"/>
        </w:rPr>
      </w:pPr>
      <w:r>
        <w:rPr>
          <w:rFonts w:hint="eastAsia" w:ascii="仿宋" w:hAnsi="仿宋" w:cs="仿宋"/>
          <w:b/>
          <w:bCs/>
          <w:szCs w:val="36"/>
        </w:rPr>
        <w:t>加强区域与场地地下水污染协同防治。</w:t>
      </w:r>
      <w:r>
        <w:rPr>
          <w:rFonts w:hint="eastAsia" w:ascii="仿宋" w:hAnsi="仿宋" w:cs="仿宋"/>
          <w:szCs w:val="36"/>
        </w:rPr>
        <w:t>按照《地下水污染防治分区划分技术指南》要求，进一步完成地下水污染分区划分。场地层面，重点开展以地下水污染防控为主（排放水污染物造成地下水含水层直接污染，或已完成土壤修复尚未开展地下水污染防控工作），以及地下水型饮用水源保护的场地防控工作。</w:t>
      </w:r>
    </w:p>
    <w:p>
      <w:pPr>
        <w:pStyle w:val="6"/>
        <w:ind w:firstLine="562"/>
      </w:pPr>
      <w:bookmarkStart w:id="27" w:name="_Toc19064"/>
      <w:r>
        <w:rPr>
          <w:rFonts w:hint="eastAsia"/>
        </w:rPr>
        <w:t>3、全面开展地下水重点污染风险防控</w:t>
      </w:r>
      <w:bookmarkEnd w:id="27"/>
    </w:p>
    <w:p>
      <w:pPr>
        <w:ind w:firstLine="562"/>
        <w:rPr>
          <w:rFonts w:ascii="仿宋" w:hAnsi="仿宋" w:cs="仿宋"/>
          <w:szCs w:val="36"/>
        </w:rPr>
      </w:pPr>
      <w:r>
        <w:rPr>
          <w:rFonts w:hint="eastAsia" w:ascii="仿宋" w:hAnsi="仿宋" w:cs="仿宋"/>
          <w:b/>
          <w:bCs/>
          <w:szCs w:val="36"/>
        </w:rPr>
        <w:t>推进开展调查评估。</w:t>
      </w:r>
      <w:r>
        <w:rPr>
          <w:rFonts w:hint="eastAsia" w:ascii="仿宋" w:hAnsi="仿宋" w:cs="仿宋"/>
          <w:szCs w:val="36"/>
        </w:rPr>
        <w:t>开展地下水型饮用水水源保护区及补给区地下水环境状况调查。推进化学品生产企业、垃圾填埋场、危废处置场、工业集聚区、矿山开采区等区域周边地下水基础环境状况调查，完成地下水污染分区划分工作。推进农村地下水型饮用水源保护区划定，加强农村饮用水水质监测。</w:t>
      </w:r>
    </w:p>
    <w:p>
      <w:pPr>
        <w:ind w:firstLine="562"/>
        <w:rPr>
          <w:rFonts w:ascii="仿宋" w:hAnsi="仿宋" w:cs="仿宋"/>
          <w:szCs w:val="36"/>
        </w:rPr>
      </w:pPr>
      <w:r>
        <w:rPr>
          <w:rFonts w:hint="eastAsia" w:ascii="仿宋" w:hAnsi="仿宋" w:cs="仿宋"/>
          <w:b/>
          <w:bCs/>
          <w:szCs w:val="36"/>
        </w:rPr>
        <w:t>开展防渗监测工作。</w:t>
      </w:r>
      <w:r>
        <w:rPr>
          <w:rFonts w:hint="eastAsia" w:ascii="仿宋" w:hAnsi="仿宋" w:cs="仿宋"/>
          <w:szCs w:val="36"/>
        </w:rPr>
        <w:t>探索建立地下水污染防治重点监管单位名录，开展地下水污染风险防渗漏排查，对存在问题的设施采取防渗改造措施。“一企一库”“两场两区”落实防渗漏措施，并开展地下水污染防治重点监管单位周边地下水监督性监测。</w:t>
      </w:r>
    </w:p>
    <w:p>
      <w:pPr>
        <w:ind w:firstLine="562"/>
      </w:pPr>
      <w:r>
        <w:rPr>
          <w:rFonts w:hint="eastAsia"/>
          <w:b/>
          <w:bCs/>
        </w:rPr>
        <w:t>实施地下水污染风险管控。</w:t>
      </w:r>
      <w:r>
        <w:rPr>
          <w:rFonts w:hint="eastAsia"/>
        </w:rPr>
        <w:t>制定地下水环境污染隐患清单，利用重点行业企业用地土壤污染状况调查成果，组织核实并公布地下水污染场地清单，制定风险管控方案，对确需开展治理修复的，开展治理修复试点。对有地下储罐的重点企业开展摸排登记，建立清单台账。以化学品生产企业以及工业集聚区、矿山开采区、危险废物处置场、垃圾填埋场等为重点，开展防渗情况排查和检测。采用“双随机、一公开”的方式，开展地下水污染渗漏监管执法和帮扶工作。针对城镇污水管网渗漏情况，研究污水管网渗漏排查和检测技术，加快城镇污水管网更新改造。加强重点行业环境监管，控制工业危险废物堆埋场对地下水的影响。控制城镇生活垃圾填埋场对地下水的影响。</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adjustRightInd w:val="0"/>
              <w:snapToGrid w:val="0"/>
              <w:spacing w:beforeLines="50"/>
              <w:ind w:firstLine="0" w:firstLineChars="0"/>
              <w:jc w:val="center"/>
              <w:rPr>
                <w:rFonts w:ascii="宋体" w:hAnsi="宋体" w:eastAsia="宋体"/>
                <w:sz w:val="24"/>
              </w:rPr>
            </w:pPr>
            <w:r>
              <w:rPr>
                <w:rFonts w:hint="eastAsia" w:ascii="宋体" w:hAnsi="宋体" w:eastAsia="宋体"/>
                <w:b/>
                <w:bCs/>
                <w:sz w:val="24"/>
              </w:rPr>
              <w:t>专栏</w:t>
            </w:r>
            <w:r>
              <w:rPr>
                <w:rFonts w:ascii="宋体" w:hAnsi="宋体" w:eastAsia="宋体"/>
                <w:b/>
                <w:bCs/>
                <w:sz w:val="24"/>
              </w:rPr>
              <w:t>2</w:t>
            </w:r>
            <w:r>
              <w:rPr>
                <w:rFonts w:hint="eastAsia" w:ascii="宋体" w:hAnsi="宋体" w:eastAsia="宋体"/>
                <w:b/>
                <w:bCs/>
                <w:sz w:val="24"/>
              </w:rPr>
              <w:t xml:space="preserve"> 地下水生态环境保护工程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ind w:firstLine="482"/>
              <w:jc w:val="left"/>
              <w:rPr>
                <w:rFonts w:ascii="宋体" w:hAnsi="宋体" w:eastAsia="宋体"/>
                <w:sz w:val="24"/>
              </w:rPr>
            </w:pPr>
            <w:r>
              <w:rPr>
                <w:rFonts w:hint="eastAsia" w:ascii="宋体" w:hAnsi="宋体" w:eastAsia="宋体"/>
                <w:b/>
                <w:bCs/>
                <w:sz w:val="24"/>
              </w:rPr>
              <w:t>地下水环境状况调查评估工程：</w:t>
            </w:r>
            <w:r>
              <w:rPr>
                <w:rFonts w:hint="eastAsia" w:ascii="宋体" w:hAnsi="宋体" w:eastAsia="宋体"/>
                <w:sz w:val="24"/>
              </w:rPr>
              <w:t>开展城镇地下水型饮用水水源保护区及补给区环境状况和污染风险调查评估工程；针对“一企一库”“两场两区”等六类地下水重点污染源，实施地下水环境状况调查评估工程。</w:t>
            </w:r>
          </w:p>
          <w:p>
            <w:pPr>
              <w:ind w:firstLine="482"/>
              <w:jc w:val="left"/>
              <w:rPr>
                <w:rFonts w:ascii="宋体" w:hAnsi="宋体" w:eastAsia="宋体"/>
                <w:sz w:val="24"/>
              </w:rPr>
            </w:pPr>
            <w:r>
              <w:rPr>
                <w:rFonts w:hint="eastAsia" w:ascii="宋体" w:hAnsi="宋体" w:eastAsia="宋体"/>
                <w:b/>
                <w:bCs/>
                <w:sz w:val="24"/>
              </w:rPr>
              <w:t>地下水环境质量达标工程：</w:t>
            </w:r>
            <w:r>
              <w:rPr>
                <w:rFonts w:hint="eastAsia" w:ascii="宋体" w:hAnsi="宋体" w:eastAsia="宋体"/>
                <w:sz w:val="24"/>
              </w:rPr>
              <w:t>针对国家地下水环境质量考核点位，分析地下水环境质量状况，制定地下水环境质量改善方案，防止地下水污染恶化。</w:t>
            </w:r>
          </w:p>
          <w:p>
            <w:pPr>
              <w:pStyle w:val="2"/>
              <w:spacing w:after="0"/>
              <w:ind w:left="0" w:leftChars="0" w:firstLine="482"/>
              <w:rPr>
                <w:rFonts w:eastAsia="宋体"/>
              </w:rPr>
            </w:pPr>
            <w:r>
              <w:rPr>
                <w:rFonts w:hint="eastAsia" w:eastAsia="宋体"/>
                <w:b/>
                <w:bCs/>
              </w:rPr>
              <w:t>地下水型饮用水水源定期监测项目：</w:t>
            </w:r>
            <w:r>
              <w:rPr>
                <w:rFonts w:hint="eastAsia" w:eastAsia="宋体"/>
              </w:rPr>
              <w:t>按照相关要求定期监测和评估本行政区域内地下水型饮用水水源、供水单位供水、用户水龙头出水的水质安全状况。</w:t>
            </w:r>
          </w:p>
          <w:p>
            <w:pPr>
              <w:pStyle w:val="2"/>
              <w:spacing w:after="0"/>
              <w:ind w:left="0" w:leftChars="0" w:firstLine="482"/>
            </w:pPr>
            <w:r>
              <w:rPr>
                <w:rFonts w:hint="eastAsia" w:eastAsia="宋体"/>
                <w:b/>
                <w:bCs/>
              </w:rPr>
              <w:t>地下水水源地边界保护工程：</w:t>
            </w:r>
            <w:r>
              <w:rPr>
                <w:rFonts w:hint="eastAsia" w:eastAsia="宋体"/>
              </w:rPr>
              <w:t>进一步完善德惠朱家湾水源地处水源井周围隔离防护措施，加强标牌建设及新建界碑、交通警示牌、宣传牌等标志设置。</w:t>
            </w:r>
          </w:p>
        </w:tc>
      </w:tr>
    </w:tbl>
    <w:p>
      <w:pPr>
        <w:pStyle w:val="5"/>
      </w:pPr>
      <w:bookmarkStart w:id="28" w:name="_Toc18938"/>
      <w:r>
        <w:rPr>
          <w:rFonts w:hint="eastAsia"/>
        </w:rPr>
        <w:t>（三）改善农业农村生态环境</w:t>
      </w:r>
      <w:bookmarkEnd w:id="28"/>
    </w:p>
    <w:p>
      <w:pPr>
        <w:pStyle w:val="6"/>
        <w:ind w:firstLine="562"/>
      </w:pPr>
      <w:bookmarkStart w:id="29" w:name="_Toc92722219"/>
      <w:bookmarkStart w:id="30" w:name="_Toc3528"/>
      <w:bookmarkStart w:id="31" w:name="_Toc2325"/>
      <w:r>
        <w:rPr>
          <w:rFonts w:hint="eastAsia"/>
        </w:rPr>
        <w:t>1、加强农村饮用水水源保护</w:t>
      </w:r>
      <w:bookmarkEnd w:id="29"/>
      <w:bookmarkEnd w:id="30"/>
    </w:p>
    <w:p>
      <w:pPr>
        <w:ind w:firstLine="562"/>
      </w:pPr>
      <w:r>
        <w:rPr>
          <w:rFonts w:hint="eastAsia"/>
          <w:b/>
          <w:bCs/>
        </w:rPr>
        <w:t>开展水源地环境风险排查整治。</w:t>
      </w:r>
      <w:r>
        <w:rPr>
          <w:rFonts w:hint="eastAsia"/>
        </w:rPr>
        <w:t>推动在饮用水水源保护区边界设立地理界标、警示标志或宣传牌，推进水源地规范化建设。针对德惠市农村集中式饮用水水源地，开展农村集中式饮用水水源保护区整治坝基行动，全面清理整治农村集中式饮用水水源保护区内环境违法违规问题，针对人为污染造成水质超标的地下水型饮用水水源井，采取修复治理措施保障水质达标；对难以恢复饮用水水源功能的，应按程序撤销、更换。排查影响农村水源地安全的工业企业、畜禽养殖、水产养殖、垃圾堆放等环境风险源，制定饮用水水源地整治方案和应急预案，通过整治风险源、更换水源地等方式，消除风险隐患，提高饮用水水源地污染防治、环境保护和生态建设水平。2025年完成德惠境内集中饮用水水源地所在村庄，国控、省控地表水考核控制单元上游水体沿岸两侧村庄的农村生活污水改造工作。</w:t>
      </w:r>
    </w:p>
    <w:p>
      <w:pPr>
        <w:ind w:firstLine="562"/>
      </w:pPr>
      <w:bookmarkStart w:id="32" w:name="_Toc92722220"/>
      <w:r>
        <w:rPr>
          <w:rFonts w:hint="eastAsia"/>
          <w:b/>
          <w:bCs/>
        </w:rPr>
        <w:t>加强饮用水水源地环境监管。</w:t>
      </w:r>
      <w:r>
        <w:rPr>
          <w:rFonts w:hint="eastAsia"/>
        </w:rPr>
        <w:t>实施从水源地到水龙头的全过程控制，落实水源保护、工程建设、水质监测检测“三同时”制度。健全定期监测报告、应急事件处置、违法行为举报、水源信息公开、监督考核评价等工作机制。加强饮用水水源地水质监测，农村“千吨万人”水源地水质实行一季度一测，乡镇级和千人以上农村集中式饮用水水源地实行半年一测。将农村饮用水水源地保护纳入河长制湖长制，落实饮用水水源地保护责任。</w:t>
      </w:r>
      <w:bookmarkEnd w:id="32"/>
    </w:p>
    <w:p>
      <w:pPr>
        <w:pStyle w:val="6"/>
        <w:ind w:firstLine="562"/>
      </w:pPr>
      <w:bookmarkStart w:id="33" w:name="_Toc590"/>
      <w:r>
        <w:rPr>
          <w:rFonts w:hint="eastAsia"/>
        </w:rPr>
        <w:t>2、推进农业面源污染防治</w:t>
      </w:r>
      <w:bookmarkEnd w:id="33"/>
    </w:p>
    <w:p>
      <w:pPr>
        <w:ind w:firstLine="562"/>
      </w:pPr>
      <w:bookmarkStart w:id="34" w:name="_Toc92722213"/>
      <w:r>
        <w:rPr>
          <w:rFonts w:hint="eastAsia" w:ascii="仿宋" w:hAnsi="仿宋" w:cs="仿宋"/>
          <w:b/>
          <w:bCs/>
          <w:szCs w:val="36"/>
        </w:rPr>
        <w:t>加强种植业污染防治</w:t>
      </w:r>
      <w:bookmarkEnd w:id="34"/>
      <w:r>
        <w:rPr>
          <w:rFonts w:hint="eastAsia" w:ascii="仿宋" w:hAnsi="仿宋" w:cs="仿宋"/>
          <w:b/>
          <w:bCs/>
          <w:szCs w:val="36"/>
        </w:rPr>
        <w:t>。</w:t>
      </w:r>
      <w:r>
        <w:rPr>
          <w:rFonts w:hint="eastAsia" w:ascii="仿宋" w:hAnsi="仿宋" w:cs="仿宋"/>
          <w:szCs w:val="36"/>
        </w:rPr>
        <w:t>持续推进化肥农药减量增效，实施“两减”行动，通过测土配方施肥、优化肥料品种、运用航化作业防治稻瘟病等统防统治病虫害绿色防控技术，实现化肥减量、农药减化的目标。到2025年，德惠市主要农作物化肥农药使用量减少，利用率均达到39.5%以上。</w:t>
      </w:r>
      <w:r>
        <w:rPr>
          <w:rFonts w:hint="eastAsia"/>
        </w:rPr>
        <w:t>实施“一利用”行动，重点利用好农作物秸秆和畜禽粪污，实现变废为宝的目标；开展秸秆综合利用示范区建设，实施秸秆全量还田保护性耕作，提高秸秆“五化”利用量和综合利用率。深入实施“秸秆变肉”工程，有效推进秸秆过腹还田。全面开展农膜和农药化肥包装物回收处理行动，实行分散回收、集中储存、分类处置，禁止焚烧、堆积、掩埋，到2025年，力争畜禽粪污资源化利用率达到95%，阻断农村畜禽养殖业面源污染途径。加强微塑料新污染物源头治理，探索制定提高农膜回收利用的政策措施，完善废旧农膜、农药包装废弃物等回收处理制度，鼓励进一步扩大农膜回收利用面积，增设回收站点，鼓励企业回收利用。加快农膜高效回收机械的研发和推广，拓宽农膜回收利用途径，积极示范推广生物可降解农膜，增加专用降解膜推广示范面积。到2025年，废弃农膜回收率达到85%以上。</w:t>
      </w:r>
    </w:p>
    <w:p>
      <w:pPr>
        <w:ind w:firstLine="562"/>
        <w:rPr>
          <w:rFonts w:ascii="仿宋" w:hAnsi="仿宋" w:cs="仿宋"/>
          <w:bCs/>
          <w:szCs w:val="36"/>
        </w:rPr>
      </w:pPr>
      <w:r>
        <w:rPr>
          <w:rFonts w:hint="eastAsia" w:ascii="仿宋" w:hAnsi="仿宋" w:cs="仿宋"/>
          <w:b/>
          <w:bCs/>
          <w:szCs w:val="36"/>
        </w:rPr>
        <w:t>着力推进养殖业污染防治。</w:t>
      </w:r>
      <w:r>
        <w:rPr>
          <w:rFonts w:hint="eastAsia" w:ascii="仿宋" w:hAnsi="仿宋" w:cs="仿宋"/>
          <w:szCs w:val="36"/>
        </w:rPr>
        <w:t>持续推进畜禽养殖废弃物资源化利用工作，</w:t>
      </w:r>
      <w:r>
        <w:rPr>
          <w:rFonts w:hint="eastAsia" w:ascii="仿宋" w:hAnsi="仿宋" w:cs="仿宋"/>
          <w:bCs/>
          <w:szCs w:val="36"/>
        </w:rPr>
        <w:t>坚持源头减量、过程控制、末端利用，全面推进畜禽粪污处理基础设施建设和改造，强化畜禽粪污无害化处理和农用有机肥转化，不断提高规模化、分散式畜禽养殖粪污收储运利用水平，有效打通畜禽粪肥还田“最后一公里”。到2025年，力争畜禽粪污资源化利用率达到95%。</w:t>
      </w:r>
    </w:p>
    <w:p>
      <w:pPr>
        <w:pStyle w:val="6"/>
        <w:ind w:firstLine="562"/>
      </w:pPr>
      <w:bookmarkStart w:id="35" w:name="_Toc92722216"/>
      <w:bookmarkStart w:id="36" w:name="_Toc4121"/>
      <w:r>
        <w:rPr>
          <w:rFonts w:hint="eastAsia"/>
        </w:rPr>
        <w:t>3、有序开展农村黑臭水体整治</w:t>
      </w:r>
      <w:bookmarkEnd w:id="35"/>
      <w:bookmarkEnd w:id="36"/>
    </w:p>
    <w:p>
      <w:pPr>
        <w:ind w:firstLine="562"/>
      </w:pPr>
      <w:bookmarkStart w:id="37" w:name="_Toc92722217"/>
      <w:r>
        <w:rPr>
          <w:rFonts w:hint="eastAsia"/>
          <w:b/>
          <w:bCs/>
        </w:rPr>
        <w:t>建立农村黑臭水体监管清单。</w:t>
      </w:r>
      <w:r>
        <w:rPr>
          <w:rFonts w:hint="eastAsia"/>
        </w:rPr>
        <w:t>实施控源截污、清淤疏浚、生态修复、水体净化等措施，科学开展整治，并“拉条挂账，逐一销号”。建立动态排查机制，将新发现的农村黑臭水体或返黑返臭的水体及时纳入监管平台。充分发挥河湖长制作用，促进黑臭水体有效治理和长期管护。</w:t>
      </w:r>
    </w:p>
    <w:p>
      <w:pPr>
        <w:pStyle w:val="6"/>
        <w:ind w:firstLine="562"/>
      </w:pPr>
      <w:bookmarkStart w:id="38" w:name="_Toc25363"/>
      <w:r>
        <w:rPr>
          <w:rFonts w:hint="eastAsia"/>
        </w:rPr>
        <w:t>4、推进农村生活污水治理</w:t>
      </w:r>
      <w:bookmarkEnd w:id="37"/>
      <w:bookmarkEnd w:id="38"/>
    </w:p>
    <w:p>
      <w:pPr>
        <w:ind w:firstLine="562"/>
        <w:rPr>
          <w:rFonts w:ascii="仿宋" w:hAnsi="仿宋" w:cs="仿宋"/>
          <w:bCs/>
          <w:szCs w:val="28"/>
        </w:rPr>
      </w:pPr>
      <w:r>
        <w:rPr>
          <w:rFonts w:hint="eastAsia" w:ascii="仿宋" w:hAnsi="仿宋" w:cs="仿宋"/>
          <w:b/>
          <w:szCs w:val="28"/>
        </w:rPr>
        <w:t>统筹规划实施污水治理。</w:t>
      </w:r>
      <w:r>
        <w:rPr>
          <w:rFonts w:hint="eastAsia" w:ascii="仿宋" w:hAnsi="仿宋" w:cs="仿宋"/>
          <w:bCs/>
          <w:szCs w:val="28"/>
        </w:rPr>
        <w:t>优先治理饮用水水源保护区、自然保护区、风景名胜区，重要河湖沿岸，黑臭水体以及水质需要改善的控制单元内或附近的村庄，发展农家乐、民宿等乡村旅游的村庄生活污水。加强农村生活污水治理与厕所革命衔接，积极推进厕所粪污无害处理和资源化利用。已完成冲水卫生厕所改造的地区，加快补齐农村生活污水处理设施建设短板。到2025年，农村生活污水治理率达到25%左右，农村户用卫生厕所普及率达到85%。</w:t>
      </w:r>
    </w:p>
    <w:p>
      <w:pPr>
        <w:ind w:firstLine="562"/>
      </w:pPr>
      <w:r>
        <w:rPr>
          <w:rFonts w:hint="eastAsia"/>
          <w:b/>
          <w:bCs/>
        </w:rPr>
        <w:t>有序推进生活污水治理设施建设。</w:t>
      </w:r>
      <w:r>
        <w:rPr>
          <w:rFonts w:hint="eastAsia"/>
        </w:rPr>
        <w:t>因地制宜选取符合农村实际的生活污水治理模式，确定完成时限，达到经济适用、运行可靠的效果。对已建设的污水治理设施，明确管理主体和运维单位，健全运行维护机制，保障设施建设和运行质量。开展农村生活污水处理设施运行情况排查评估、农村生活污水治理成效评估。</w:t>
      </w:r>
    </w:p>
    <w:p>
      <w:pPr>
        <w:ind w:firstLine="562"/>
      </w:pPr>
      <w:r>
        <w:rPr>
          <w:rFonts w:hint="eastAsia"/>
          <w:b/>
          <w:bCs/>
        </w:rPr>
        <w:t>强化农村生活污水治理设施监管。</w:t>
      </w:r>
      <w:r>
        <w:rPr>
          <w:rFonts w:hint="eastAsia"/>
        </w:rPr>
        <w:t>建立设施运行情况监管台账，对日处理能力20吨及以上农村生活污水处理设施出水，开展常规水质监测。对集中式处理设施安装在线监测设备，运用物联网等技术，建立农村生活污水治理设施智能监控平台。</w:t>
      </w:r>
    </w:p>
    <w:p>
      <w:pPr>
        <w:pStyle w:val="6"/>
        <w:ind w:firstLine="562"/>
      </w:pPr>
      <w:bookmarkStart w:id="39" w:name="_Toc31177"/>
      <w:bookmarkStart w:id="40" w:name="_Toc92722218"/>
      <w:r>
        <w:rPr>
          <w:rFonts w:hint="eastAsia"/>
        </w:rPr>
        <w:t>5、提高农村生活垃圾处置水平</w:t>
      </w:r>
      <w:bookmarkEnd w:id="39"/>
      <w:bookmarkEnd w:id="40"/>
    </w:p>
    <w:p>
      <w:pPr>
        <w:ind w:firstLine="562"/>
      </w:pPr>
      <w:r>
        <w:rPr>
          <w:rFonts w:hint="eastAsia"/>
          <w:b/>
          <w:bCs/>
        </w:rPr>
        <w:t>推动农村生活垃圾分类减量。</w:t>
      </w:r>
      <w:r>
        <w:rPr>
          <w:rFonts w:hint="eastAsia"/>
        </w:rPr>
        <w:t>多措并举宣传推进农村生活垃圾分类，结合人口聚集程度、自然地理条件、经济发展水平、生活垃圾成分、性质与情况构建“政府主导、企业主体、全民参与”垃圾分类体系，因地制宜组织落实生活垃圾分类减量的具体实施工作，引导村民分类投放，实现源头减量。</w:t>
      </w:r>
    </w:p>
    <w:p>
      <w:pPr>
        <w:ind w:firstLine="562"/>
      </w:pPr>
      <w:r>
        <w:rPr>
          <w:rFonts w:hint="eastAsia"/>
          <w:b/>
          <w:bCs/>
        </w:rPr>
        <w:t>健全收运处置体系。</w:t>
      </w:r>
      <w:r>
        <w:rPr>
          <w:rFonts w:hint="eastAsia"/>
        </w:rPr>
        <w:t>加强农村生活垃圾治理，加快建设生活垃圾分类投放、分类收集、分类运输和分类处置设施，全面推进农村生活垃圾处置设施全覆盖、密闭式垃圾收运，继续开展非正规生活垃圾堆放点集中整治。健全农村生活垃圾收集、运输和处置体系公司化、一体化、常态化管理模式和稳定运行的长效机制。村庄垃圾收集（点、站）基本实现自然村组全覆盖。逐步提高无害化处理水平，优化垃圾收运处置设施布局，完善生活垃圾处理系统，推进城乡环卫一体化。到2025年，完成全市全部行政村生活垃圾治理。</w:t>
      </w:r>
    </w:p>
    <w:p>
      <w:pPr>
        <w:ind w:firstLine="562"/>
      </w:pPr>
      <w:r>
        <w:rPr>
          <w:rFonts w:hint="eastAsia"/>
          <w:b/>
          <w:bCs/>
        </w:rPr>
        <w:t>提升资源化利用水平。</w:t>
      </w:r>
      <w:r>
        <w:rPr>
          <w:rFonts w:hint="eastAsia"/>
        </w:rPr>
        <w:t>推进农村生活垃圾分类和资源化利用示范县创建，推广农村生活垃圾源头分类减量，积极探索符合农村特点和农民习惯、简便易行的分类处理模式，减少垃圾出村处理量，基本实现农村可回收垃圾资源化利用、易腐烂垃圾和煤渣灰土就地就近自行还田或集中堆肥处理，有毒有害垃圾单独收集并规范处置，其他垃圾通过收运处置体系进行处理。加强日常监督，强化农村生活垃圾分类和资源化利用指导，及时总结推广示范县经验和做法，完善运行管护长效机制。</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adjustRightInd w:val="0"/>
              <w:snapToGrid w:val="0"/>
              <w:spacing w:beforeLines="50"/>
              <w:ind w:firstLine="0" w:firstLineChars="0"/>
              <w:jc w:val="center"/>
              <w:rPr>
                <w:rFonts w:ascii="宋体" w:hAnsi="宋体" w:eastAsia="宋体"/>
                <w:sz w:val="24"/>
              </w:rPr>
            </w:pPr>
            <w:r>
              <w:rPr>
                <w:rFonts w:hint="eastAsia" w:ascii="宋体" w:hAnsi="宋体" w:eastAsia="宋体"/>
                <w:b/>
                <w:bCs/>
                <w:sz w:val="24"/>
              </w:rPr>
              <w:t>专栏</w:t>
            </w:r>
            <w:r>
              <w:rPr>
                <w:rFonts w:ascii="宋体" w:hAnsi="宋体" w:eastAsia="宋体"/>
                <w:b/>
                <w:bCs/>
                <w:sz w:val="24"/>
              </w:rPr>
              <w:t>3</w:t>
            </w:r>
            <w:r>
              <w:rPr>
                <w:rFonts w:hint="eastAsia" w:ascii="宋体" w:hAnsi="宋体" w:eastAsia="宋体"/>
                <w:b/>
                <w:bCs/>
                <w:sz w:val="24"/>
              </w:rPr>
              <w:t xml:space="preserve"> 农业农村生态环境保护工程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pStyle w:val="2"/>
              <w:adjustRightInd/>
              <w:snapToGrid/>
              <w:spacing w:after="0"/>
              <w:ind w:left="0" w:leftChars="0" w:firstLine="482"/>
              <w:jc w:val="left"/>
              <w:rPr>
                <w:rFonts w:eastAsia="宋体"/>
              </w:rPr>
            </w:pPr>
            <w:r>
              <w:rPr>
                <w:rFonts w:hint="eastAsia" w:eastAsia="宋体"/>
                <w:b/>
                <w:bCs/>
              </w:rPr>
              <w:t>农村环境整治工程</w:t>
            </w:r>
            <w:r>
              <w:rPr>
                <w:rFonts w:hint="eastAsia" w:eastAsia="宋体"/>
              </w:rPr>
              <w:t>：实施农村生活污水治理重点建设工程。</w:t>
            </w:r>
          </w:p>
          <w:p>
            <w:pPr>
              <w:pStyle w:val="2"/>
              <w:adjustRightInd/>
              <w:snapToGrid/>
              <w:spacing w:after="0"/>
              <w:ind w:left="0" w:leftChars="0" w:firstLine="482"/>
              <w:jc w:val="left"/>
              <w:rPr>
                <w:rFonts w:eastAsia="宋体"/>
              </w:rPr>
            </w:pPr>
            <w:r>
              <w:rPr>
                <w:rFonts w:hint="eastAsia" w:eastAsia="宋体"/>
                <w:b/>
                <w:bCs/>
              </w:rPr>
              <w:t>农业农村面源污染防治工程：</w:t>
            </w:r>
            <w:r>
              <w:rPr>
                <w:rFonts w:hint="eastAsia" w:eastAsia="宋体"/>
              </w:rPr>
              <w:t>实施德惠市畜禽粪污无害化处理和资源化利用项目。实施德惠市农村生活污水治理工程，包括大房身镇吉旦沟、东夏家、二道、头道，松花江镇茶条村、松花江村、茂林村、高城子村、孙坨子村，达家沟镇张家村、天合村，布海镇刘家村、哈里村、岫岩村、义和村等村屯建设农村户用无害化卫生厕所和户用灰水收集箱转运至污水处理站。</w:t>
            </w:r>
          </w:p>
          <w:p>
            <w:pPr>
              <w:pStyle w:val="2"/>
              <w:adjustRightInd/>
              <w:snapToGrid/>
              <w:spacing w:after="0"/>
              <w:ind w:left="0" w:leftChars="0" w:firstLine="482"/>
              <w:jc w:val="left"/>
              <w:rPr>
                <w:rFonts w:eastAsia="宋体"/>
              </w:rPr>
            </w:pPr>
            <w:r>
              <w:rPr>
                <w:rFonts w:hint="eastAsia" w:eastAsia="宋体"/>
                <w:b/>
                <w:bCs/>
              </w:rPr>
              <w:t>畜禽养殖污染防治规划编制：</w:t>
            </w:r>
            <w:r>
              <w:rPr>
                <w:rFonts w:hint="eastAsia" w:eastAsia="宋体"/>
              </w:rPr>
              <w:t>按照编制指南要求，完成畜禽养殖污染防治规划编制。</w:t>
            </w:r>
          </w:p>
        </w:tc>
      </w:tr>
      <w:bookmarkEnd w:id="31"/>
    </w:tbl>
    <w:p>
      <w:pPr>
        <w:pStyle w:val="5"/>
      </w:pPr>
      <w:bookmarkStart w:id="41" w:name="_Toc14506"/>
      <w:r>
        <w:rPr>
          <w:rFonts w:hint="eastAsia"/>
        </w:rPr>
        <w:t>（四）提升生态环境监管能力</w:t>
      </w:r>
      <w:bookmarkEnd w:id="41"/>
    </w:p>
    <w:p>
      <w:pPr>
        <w:pStyle w:val="6"/>
        <w:ind w:firstLine="562"/>
      </w:pPr>
      <w:bookmarkStart w:id="42" w:name="_Toc47081768"/>
      <w:bookmarkStart w:id="43" w:name="_Toc7464"/>
      <w:r>
        <w:rPr>
          <w:rFonts w:hint="eastAsia"/>
        </w:rPr>
        <w:t>1、</w:t>
      </w:r>
      <w:bookmarkEnd w:id="42"/>
      <w:r>
        <w:rPr>
          <w:rFonts w:hint="eastAsia"/>
        </w:rPr>
        <w:t>健全监测网络</w:t>
      </w:r>
      <w:bookmarkEnd w:id="43"/>
    </w:p>
    <w:p>
      <w:pPr>
        <w:ind w:firstLine="560"/>
        <w:jc w:val="left"/>
        <w:rPr>
          <w:rFonts w:ascii="仿宋" w:hAnsi="仿宋" w:cs="仿宋"/>
          <w:szCs w:val="36"/>
        </w:rPr>
      </w:pPr>
      <w:bookmarkStart w:id="44" w:name="_Hlk51084905"/>
      <w:bookmarkStart w:id="45" w:name="_Toc47081769"/>
      <w:r>
        <w:rPr>
          <w:rFonts w:hint="eastAsia" w:ascii="仿宋" w:hAnsi="仿宋" w:cs="仿宋"/>
          <w:szCs w:val="36"/>
        </w:rPr>
        <w:t>完善土壤环境监测网，优化调整土壤环境监测点位，强化农产品产地土壤和农产品协同监测。对土壤污染重点监管单位周边土壤和地下水至少完成一轮监测。建立区域监管和“双源”监控相结合的地下水环境监测网。加强农业农村环境监测网络建设，加密布设农村环境质量监测必测点位。推进农村环境监测能力建设，开展农村生态环境质量监测。</w:t>
      </w:r>
    </w:p>
    <w:p>
      <w:pPr>
        <w:pStyle w:val="6"/>
        <w:ind w:firstLine="562"/>
      </w:pPr>
      <w:bookmarkStart w:id="46" w:name="_Toc19898"/>
      <w:r>
        <w:rPr>
          <w:rFonts w:hint="eastAsia"/>
        </w:rPr>
        <w:t>2、</w:t>
      </w:r>
      <w:bookmarkEnd w:id="44"/>
      <w:bookmarkEnd w:id="45"/>
      <w:r>
        <w:rPr>
          <w:rFonts w:hint="eastAsia"/>
        </w:rPr>
        <w:t>加强监管队伍建设</w:t>
      </w:r>
      <w:bookmarkEnd w:id="46"/>
    </w:p>
    <w:p>
      <w:pPr>
        <w:ind w:firstLine="560"/>
      </w:pPr>
      <w:bookmarkStart w:id="47" w:name="_Toc47081770"/>
      <w:r>
        <w:rPr>
          <w:rFonts w:hint="eastAsia"/>
        </w:rPr>
        <w:t>建立完善土壤污染防治专业技术人才培养和引进机制，建设高素质、专业化、复合型人才干部队伍。推动从业单位和从业人员提高水平和能力，进一步加强土壤、地下水与农业农村生态环境保护科技支撑能力建设，优化和整合污染防治专业支撑队伍，开展污染防治专业技术培训。整合高校、科研机构人才资源，建立健全土壤和地下水污染防治专家库。</w:t>
      </w:r>
    </w:p>
    <w:p>
      <w:pPr>
        <w:pStyle w:val="6"/>
        <w:ind w:firstLine="562"/>
      </w:pPr>
      <w:bookmarkStart w:id="48" w:name="_Toc7571"/>
      <w:r>
        <w:rPr>
          <w:rFonts w:hint="eastAsia"/>
        </w:rPr>
        <w:t>3、</w:t>
      </w:r>
      <w:bookmarkEnd w:id="47"/>
      <w:r>
        <w:rPr>
          <w:rFonts w:hint="eastAsia"/>
        </w:rPr>
        <w:t>加强生态环境执法与应急</w:t>
      </w:r>
      <w:bookmarkEnd w:id="48"/>
    </w:p>
    <w:p>
      <w:pPr>
        <w:ind w:firstLine="560"/>
        <w:rPr>
          <w:rFonts w:ascii="仿宋" w:hAnsi="仿宋" w:cs="仿宋"/>
          <w:szCs w:val="36"/>
        </w:rPr>
      </w:pPr>
      <w:r>
        <w:rPr>
          <w:rFonts w:hint="eastAsia" w:ascii="仿宋" w:hAnsi="仿宋" w:cs="仿宋"/>
          <w:szCs w:val="36"/>
        </w:rPr>
        <w:t>开展土壤、地下水和农业农村生态环境保护综合行政执法。推动执法力量向基层和一线倾斜，加强动态巡查、办案等执法工作力量。严厉打击固体废物特别是危险废物非法倾倒或填埋，以及利用渗井、渗坑、裂隙、溶洞等逃避监管的方式向地下排放污染物等行为，对涉嫌污染环境犯罪的，及时移送公安机关。落实生态环境损害赔偿制度，按要求开展污染土壤、地下水生态环境损害调查评估。提升突发环境事件土壤、地下水与农业农村生态环境保护应急处置能力，各相关单位制定的突发环境事件应急预案应当包括防止土壤和地下水环境污染内容。</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adjustRightInd w:val="0"/>
              <w:snapToGrid w:val="0"/>
              <w:spacing w:beforeLines="50"/>
              <w:ind w:firstLine="0" w:firstLineChars="0"/>
              <w:jc w:val="center"/>
              <w:rPr>
                <w:rFonts w:ascii="宋体" w:hAnsi="宋体" w:eastAsia="宋体"/>
                <w:sz w:val="24"/>
              </w:rPr>
            </w:pPr>
            <w:r>
              <w:rPr>
                <w:rFonts w:hint="eastAsia" w:ascii="宋体" w:hAnsi="宋体" w:eastAsia="宋体"/>
                <w:b/>
                <w:bCs/>
                <w:sz w:val="24"/>
              </w:rPr>
              <w:t>专栏4 监管体系建设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adjustRightInd w:val="0"/>
              <w:snapToGrid w:val="0"/>
              <w:ind w:firstLine="482"/>
              <w:jc w:val="left"/>
              <w:rPr>
                <w:rFonts w:ascii="宋体" w:hAnsi="宋体" w:eastAsia="宋体"/>
                <w:sz w:val="24"/>
              </w:rPr>
            </w:pPr>
            <w:r>
              <w:rPr>
                <w:rFonts w:hint="eastAsia" w:ascii="宋体" w:hAnsi="宋体" w:eastAsia="宋体"/>
                <w:b/>
                <w:bCs/>
                <w:sz w:val="24"/>
              </w:rPr>
              <w:t>环境监测网络建设：</w:t>
            </w:r>
            <w:r>
              <w:rPr>
                <w:rFonts w:hint="eastAsia" w:ascii="宋体" w:hAnsi="宋体" w:eastAsia="宋体"/>
                <w:sz w:val="24"/>
              </w:rPr>
              <w:t>加强土壤环境监测能力建设，强化农产品产地土壤和农产品协同监测，对土壤污染重点监管单位周边土壤至少完成一轮监测。</w:t>
            </w:r>
          </w:p>
          <w:p>
            <w:pPr>
              <w:adjustRightInd w:val="0"/>
              <w:snapToGrid w:val="0"/>
              <w:ind w:firstLine="482"/>
              <w:jc w:val="left"/>
              <w:rPr>
                <w:rFonts w:ascii="宋体" w:hAnsi="宋体" w:eastAsia="宋体"/>
                <w:b/>
                <w:bCs/>
                <w:sz w:val="24"/>
              </w:rPr>
            </w:pPr>
            <w:r>
              <w:rPr>
                <w:rFonts w:hint="eastAsia" w:ascii="宋体" w:hAnsi="宋体" w:eastAsia="宋体"/>
                <w:b/>
                <w:bCs/>
                <w:sz w:val="24"/>
              </w:rPr>
              <w:t>环境执法应急体系建设：</w:t>
            </w:r>
            <w:r>
              <w:rPr>
                <w:rFonts w:hint="eastAsia" w:ascii="宋体" w:hAnsi="宋体" w:eastAsia="宋体"/>
                <w:sz w:val="24"/>
              </w:rPr>
              <w:t>推动执法力量向基层和一线倾斜，加强动态巡查、办案等执法工作力量。健全突发环境事件应急联动机制。</w:t>
            </w:r>
          </w:p>
        </w:tc>
      </w:tr>
    </w:tbl>
    <w:p>
      <w:pPr>
        <w:pStyle w:val="4"/>
      </w:pPr>
      <w:bookmarkStart w:id="49" w:name="_Toc22092"/>
      <w:r>
        <w:rPr>
          <w:rFonts w:hint="eastAsia"/>
        </w:rPr>
        <w:t>四、保障措施</w:t>
      </w:r>
      <w:bookmarkEnd w:id="49"/>
    </w:p>
    <w:p>
      <w:pPr>
        <w:pStyle w:val="5"/>
      </w:pPr>
      <w:bookmarkStart w:id="50" w:name="_Toc3204"/>
      <w:r>
        <w:rPr>
          <w:rFonts w:hint="eastAsia"/>
        </w:rPr>
        <w:t>（一）发挥组织领导能力，</w:t>
      </w:r>
      <w:r>
        <w:t>强化政府主导作用。</w:t>
      </w:r>
      <w:bookmarkEnd w:id="50"/>
    </w:p>
    <w:p>
      <w:pPr>
        <w:ind w:firstLine="560"/>
      </w:pPr>
      <w:r>
        <w:t>建立“政府主导、部门协同、上下联动”的土壤</w:t>
      </w:r>
      <w:r>
        <w:rPr>
          <w:rFonts w:hint="eastAsia"/>
        </w:rPr>
        <w:t>、地下水生态环境保护</w:t>
      </w:r>
      <w:r>
        <w:t>与</w:t>
      </w:r>
      <w:r>
        <w:rPr>
          <w:rFonts w:hint="eastAsia"/>
        </w:rPr>
        <w:t>污染防治</w:t>
      </w:r>
      <w:r>
        <w:t>协调推进机制。完善土壤</w:t>
      </w:r>
      <w:r>
        <w:rPr>
          <w:rFonts w:hint="eastAsia"/>
        </w:rPr>
        <w:t>生态</w:t>
      </w:r>
      <w:r>
        <w:t>环境管理体制，全面落实土壤</w:t>
      </w:r>
      <w:r>
        <w:rPr>
          <w:rFonts w:hint="eastAsia"/>
        </w:rPr>
        <w:t>、地下水</w:t>
      </w:r>
      <w:r>
        <w:t>污染防治属地责任。</w:t>
      </w:r>
      <w:r>
        <w:rPr>
          <w:rFonts w:hint="eastAsia"/>
        </w:rPr>
        <w:t>德惠市</w:t>
      </w:r>
      <w:r>
        <w:t>人民政府</w:t>
      </w:r>
      <w:r>
        <w:rPr>
          <w:rFonts w:hint="eastAsia"/>
        </w:rPr>
        <w:t>是规划实施</w:t>
      </w:r>
      <w:r>
        <w:t>的</w:t>
      </w:r>
      <w:r>
        <w:rPr>
          <w:rFonts w:hint="eastAsia"/>
        </w:rPr>
        <w:t>责任</w:t>
      </w:r>
      <w:r>
        <w:t>主体，明确土壤环境保护工作职责和任务分工，加强组织领导和沟通协调，共享数据信息。强化监督管理，</w:t>
      </w:r>
      <w:r>
        <w:rPr>
          <w:rFonts w:hint="eastAsia"/>
        </w:rPr>
        <w:t>制定符合实际、体现特色的目标，</w:t>
      </w:r>
      <w:r>
        <w:t>加强目标考核，分年度对</w:t>
      </w:r>
      <w:r>
        <w:rPr>
          <w:rFonts w:hint="eastAsia"/>
        </w:rPr>
        <w:t>各乡村</w:t>
      </w:r>
      <w:r>
        <w:t>重点工作进展情况进行评估，抓好工作落实。</w:t>
      </w:r>
    </w:p>
    <w:p>
      <w:pPr>
        <w:pStyle w:val="5"/>
      </w:pPr>
      <w:bookmarkStart w:id="51" w:name="_Toc32036"/>
      <w:r>
        <w:rPr>
          <w:rFonts w:hint="eastAsia"/>
        </w:rPr>
        <w:t>（二）加强部门协调联动，落实污染防治责任。</w:t>
      </w:r>
      <w:bookmarkEnd w:id="51"/>
    </w:p>
    <w:p>
      <w:pPr>
        <w:ind w:firstLine="560"/>
      </w:pPr>
      <w:r>
        <w:rPr>
          <w:rFonts w:hint="eastAsia"/>
        </w:rPr>
        <w:t>落实各有关部门土壤污染防治责任，以农产品安全和人居环境健康两大突出问题为重点，严格农用地分类管理和建设用地准入管理，有效管控土壤环境风险，确保安全利用。加强部门之间的联动协调与密切合作，创新监管方式，推进联合执法，开展专项检查，严惩重罚各类土壤污染违法犯罪行为。强化督察推动德惠市政府和部门落实土壤污染防治监管责任，以强化监管推动企业落实土壤污染防治主体责任。</w:t>
      </w:r>
    </w:p>
    <w:p>
      <w:pPr>
        <w:pStyle w:val="5"/>
      </w:pPr>
      <w:bookmarkStart w:id="52" w:name="_Toc5147"/>
      <w:r>
        <w:rPr>
          <w:rFonts w:hint="eastAsia"/>
        </w:rPr>
        <w:t>（三）健全防治投入机制，保障资金有效利用。</w:t>
      </w:r>
      <w:bookmarkEnd w:id="52"/>
    </w:p>
    <w:p>
      <w:pPr>
        <w:ind w:firstLine="560"/>
      </w:pPr>
      <w:r>
        <w:rPr>
          <w:rFonts w:hint="eastAsia"/>
        </w:rPr>
        <w:t>加大土壤环境保护和综合治理的投入力度，切实保障土壤环境保护工作资金。充分利用中央土壤污染防治专项资金、省级污染防治专项资金等，落实资金使用及监管。科学运作省土壤污染防治基金，开展农用地土壤污染防治和土壤污染责任人或者土地使用权人无法认定的土壤污染风险管控与修复。坚持“谁污染、谁治理”原则，督促企业落实土壤污染治理资金；按照“谁投资、谁受益”原则，充分发挥市场机制，引导和鼓励社会资金投入土壤生态环境保护和土壤污染综合治理。</w:t>
      </w:r>
    </w:p>
    <w:p>
      <w:pPr>
        <w:pStyle w:val="5"/>
      </w:pPr>
      <w:bookmarkStart w:id="53" w:name="_Toc27814"/>
      <w:r>
        <w:rPr>
          <w:rFonts w:hint="eastAsia"/>
        </w:rPr>
        <w:t>（四）加大科技创新投入，助力土壤污染防治。</w:t>
      </w:r>
      <w:bookmarkEnd w:id="53"/>
    </w:p>
    <w:p>
      <w:pPr>
        <w:ind w:firstLine="560"/>
      </w:pPr>
      <w:r>
        <w:rPr>
          <w:rFonts w:hint="eastAsia"/>
        </w:rPr>
        <w:t>加强适用技术研发和推广。依托相关高校、科研院所和企业，安排科技计划项目支持土壤生态环境保护工作，围绕土壤、地下水污染治理与修复，秸秆综合利用，农村生活污水治理，化肥、农药减量增效等方面开展技术研发，推广普适性技术。</w:t>
      </w:r>
    </w:p>
    <w:p>
      <w:pPr>
        <w:ind w:firstLine="560"/>
      </w:pPr>
      <w:r>
        <w:t>推动土壤环境保护产业发展。加强政策扶持，推动土壤污染治理与修复的高新技术企业发展，加快完善土壤环境调查、分析测试、风险评估、治理与修复工程设计和施工等环节的环保产业链，培育一批综合实力较强的土壤污染治理与修复企业。</w:t>
      </w:r>
    </w:p>
    <w:p>
      <w:pPr>
        <w:pStyle w:val="5"/>
      </w:pPr>
      <w:bookmarkStart w:id="54" w:name="_Toc17124"/>
      <w:r>
        <w:rPr>
          <w:rFonts w:hint="eastAsia"/>
        </w:rPr>
        <w:t>（五）公开土壤环境信息，加强社会公众监督。</w:t>
      </w:r>
      <w:bookmarkEnd w:id="54"/>
    </w:p>
    <w:p>
      <w:pPr>
        <w:ind w:firstLine="560"/>
      </w:pPr>
      <w:r>
        <w:rPr>
          <w:rFonts w:hint="eastAsia"/>
        </w:rPr>
        <w:t>依法公布土壤环境状况和污染防治相关信息，公开土壤污染重点监管单位名录、建设用地土壤污染风险管控和修复名录，对土壤污染风险管控和修复项目依法公告、公示，推动开展社会监督。</w:t>
      </w:r>
    </w:p>
    <w:p>
      <w:pPr>
        <w:ind w:firstLine="560"/>
      </w:pPr>
      <w:r>
        <w:t>大力开展土壤</w:t>
      </w:r>
      <w:r>
        <w:rPr>
          <w:rFonts w:hint="eastAsia"/>
        </w:rPr>
        <w:t>生态环境</w:t>
      </w:r>
      <w:r>
        <w:t>保护和污染防治宣传教育。制定土壤</w:t>
      </w:r>
      <w:r>
        <w:rPr>
          <w:rFonts w:hint="eastAsia"/>
        </w:rPr>
        <w:t>生态</w:t>
      </w:r>
      <w:r>
        <w:t>环境保护宣传教育工作方案。充分利用广播电视、报刊杂志、网络微信等大众传媒，结合世界地球日等主题宣传活动，普及土壤污染防治相关知识，加强法律法规政策宣传解读，营造保护土壤环境的良好社会氛围，推动形成绿色发展方式和生活方式。</w:t>
      </w:r>
    </w:p>
    <w:p>
      <w:pPr>
        <w:ind w:firstLine="560"/>
      </w:pPr>
      <w:r>
        <w:rPr>
          <w:rFonts w:hint="eastAsia"/>
        </w:rPr>
        <w:t>做好法律法规宣传，将土壤生态环境保护工作向基层延伸、向企业渗透、向社会扩散，增强各类主体守法意识，形成全社会共同参与的合力。</w:t>
      </w:r>
    </w:p>
    <w:p>
      <w:pPr>
        <w:pStyle w:val="2"/>
        <w:ind w:left="560" w:firstLine="480"/>
      </w:pPr>
    </w:p>
    <w:p>
      <w:pPr>
        <w:ind w:firstLine="560"/>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rPr>
        <w:t>附件：《德惠市“十四五”土壤、地下水和农村生态环境保护规划》项目清单</w:t>
      </w:r>
    </w:p>
    <w:p>
      <w:pPr>
        <w:pStyle w:val="4"/>
        <w:rPr>
          <w:rFonts w:ascii="宋体" w:hAnsi="宋体"/>
        </w:rPr>
      </w:pPr>
      <w:bookmarkStart w:id="55" w:name="_Toc14331"/>
      <w:bookmarkStart w:id="56" w:name="_Toc12425"/>
      <w:r>
        <w:rPr>
          <w:rFonts w:hint="eastAsia" w:ascii="宋体" w:hAnsi="宋体"/>
        </w:rPr>
        <w:t>附件</w:t>
      </w:r>
      <w:bookmarkEnd w:id="55"/>
      <w:bookmarkEnd w:id="56"/>
    </w:p>
    <w:p>
      <w:pPr>
        <w:widowControl/>
        <w:spacing w:after="120" w:line="300" w:lineRule="auto"/>
        <w:ind w:firstLine="0" w:firstLineChars="0"/>
        <w:jc w:val="center"/>
        <w:rPr>
          <w:rFonts w:ascii="Calibri" w:hAnsi="Calibri" w:eastAsia="宋体"/>
          <w:b/>
          <w:bCs/>
          <w:sz w:val="36"/>
          <w:szCs w:val="44"/>
        </w:rPr>
      </w:pPr>
      <w:r>
        <w:rPr>
          <w:rFonts w:ascii="Calibri" w:hAnsi="Calibri" w:eastAsia="宋体"/>
          <w:b/>
          <w:bCs/>
          <w:sz w:val="36"/>
          <w:szCs w:val="44"/>
        </w:rPr>
        <w:t>《德惠市“十四五”土壤、地下水和农村生态环境保护规划》项目清单</w:t>
      </w:r>
    </w:p>
    <w:tbl>
      <w:tblPr>
        <w:tblStyle w:val="19"/>
        <w:tblW w:w="4998" w:type="pct"/>
        <w:jc w:val="center"/>
        <w:tblLayout w:type="autofit"/>
        <w:tblCellMar>
          <w:top w:w="0" w:type="dxa"/>
          <w:left w:w="108" w:type="dxa"/>
          <w:bottom w:w="0" w:type="dxa"/>
          <w:right w:w="108" w:type="dxa"/>
        </w:tblCellMar>
      </w:tblPr>
      <w:tblGrid>
        <w:gridCol w:w="513"/>
        <w:gridCol w:w="973"/>
        <w:gridCol w:w="1596"/>
        <w:gridCol w:w="4290"/>
        <w:gridCol w:w="740"/>
        <w:gridCol w:w="1432"/>
        <w:gridCol w:w="1341"/>
        <w:gridCol w:w="1250"/>
        <w:gridCol w:w="1015"/>
        <w:gridCol w:w="1018"/>
      </w:tblGrid>
      <w:tr>
        <w:tblPrEx>
          <w:tblCellMar>
            <w:top w:w="0" w:type="dxa"/>
            <w:left w:w="108" w:type="dxa"/>
            <w:bottom w:w="0" w:type="dxa"/>
            <w:right w:w="108" w:type="dxa"/>
          </w:tblCellMar>
        </w:tblPrEx>
        <w:trPr>
          <w:trHeight w:val="2550" w:hRule="atLeast"/>
          <w:jc w:val="center"/>
        </w:trPr>
        <w:tc>
          <w:tcPr>
            <w:tcW w:w="18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eastAsia="宋体"/>
                <w:b/>
                <w:bCs/>
                <w:sz w:val="20"/>
                <w:szCs w:val="20"/>
              </w:rPr>
            </w:pPr>
            <w:r>
              <w:rPr>
                <w:rFonts w:hint="eastAsia" w:ascii="宋体" w:hAnsi="宋体" w:eastAsia="宋体"/>
                <w:b/>
                <w:bCs/>
                <w:kern w:val="0"/>
                <w:sz w:val="20"/>
                <w:szCs w:val="20"/>
              </w:rPr>
              <w:t>序号</w:t>
            </w:r>
          </w:p>
        </w:tc>
        <w:tc>
          <w:tcPr>
            <w:tcW w:w="34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eastAsia="宋体"/>
                <w:b/>
                <w:bCs/>
                <w:sz w:val="20"/>
                <w:szCs w:val="20"/>
              </w:rPr>
            </w:pPr>
            <w:r>
              <w:rPr>
                <w:rFonts w:hint="eastAsia" w:ascii="宋体" w:hAnsi="宋体" w:eastAsia="宋体"/>
                <w:b/>
                <w:bCs/>
                <w:kern w:val="0"/>
                <w:sz w:val="20"/>
                <w:szCs w:val="20"/>
              </w:rPr>
              <w:t>项目分类</w:t>
            </w: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eastAsia="宋体"/>
                <w:b/>
                <w:bCs/>
                <w:sz w:val="20"/>
                <w:szCs w:val="20"/>
              </w:rPr>
            </w:pPr>
            <w:r>
              <w:rPr>
                <w:rFonts w:hint="eastAsia" w:ascii="宋体" w:hAnsi="宋体" w:eastAsia="宋体"/>
                <w:b/>
                <w:bCs/>
                <w:kern w:val="0"/>
                <w:sz w:val="20"/>
                <w:szCs w:val="20"/>
              </w:rPr>
              <w:t>项目名称</w:t>
            </w:r>
          </w:p>
        </w:tc>
        <w:tc>
          <w:tcPr>
            <w:tcW w:w="151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eastAsia="宋体"/>
                <w:b/>
                <w:bCs/>
                <w:sz w:val="20"/>
                <w:szCs w:val="20"/>
              </w:rPr>
            </w:pPr>
            <w:r>
              <w:rPr>
                <w:rFonts w:hint="eastAsia" w:ascii="宋体" w:hAnsi="宋体" w:eastAsia="宋体"/>
                <w:b/>
                <w:bCs/>
                <w:kern w:val="0"/>
                <w:sz w:val="20"/>
                <w:szCs w:val="20"/>
              </w:rPr>
              <w:t>主要建设内容及规模</w:t>
            </w:r>
          </w:p>
        </w:tc>
        <w:tc>
          <w:tcPr>
            <w:tcW w:w="26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eastAsia="宋体"/>
                <w:b/>
                <w:bCs/>
                <w:sz w:val="20"/>
                <w:szCs w:val="20"/>
              </w:rPr>
            </w:pPr>
            <w:r>
              <w:rPr>
                <w:rFonts w:hint="eastAsia" w:ascii="宋体" w:hAnsi="宋体" w:eastAsia="宋体"/>
                <w:b/>
                <w:bCs/>
                <w:kern w:val="0"/>
                <w:sz w:val="20"/>
                <w:szCs w:val="20"/>
              </w:rPr>
              <w:t>属性</w:t>
            </w:r>
          </w:p>
        </w:tc>
        <w:tc>
          <w:tcPr>
            <w:tcW w:w="50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eastAsia="宋体"/>
                <w:b/>
                <w:bCs/>
                <w:sz w:val="20"/>
                <w:szCs w:val="20"/>
              </w:rPr>
            </w:pPr>
            <w:r>
              <w:rPr>
                <w:rFonts w:hint="eastAsia" w:ascii="宋体" w:hAnsi="宋体" w:eastAsia="宋体"/>
                <w:b/>
                <w:bCs/>
                <w:kern w:val="0"/>
                <w:sz w:val="20"/>
                <w:szCs w:val="20"/>
              </w:rPr>
              <w:t>项目建设主体</w:t>
            </w:r>
          </w:p>
        </w:tc>
        <w:tc>
          <w:tcPr>
            <w:tcW w:w="47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eastAsia="宋体"/>
                <w:b/>
                <w:bCs/>
                <w:sz w:val="20"/>
                <w:szCs w:val="20"/>
              </w:rPr>
            </w:pPr>
            <w:r>
              <w:rPr>
                <w:rFonts w:hint="eastAsia" w:ascii="宋体" w:hAnsi="宋体" w:eastAsia="宋体"/>
                <w:b/>
                <w:bCs/>
                <w:kern w:val="0"/>
                <w:sz w:val="20"/>
                <w:szCs w:val="20"/>
              </w:rPr>
              <w:t>建设地点</w:t>
            </w:r>
          </w:p>
        </w:tc>
        <w:tc>
          <w:tcPr>
            <w:tcW w:w="44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eastAsia="宋体"/>
                <w:b/>
                <w:bCs/>
                <w:sz w:val="20"/>
                <w:szCs w:val="20"/>
              </w:rPr>
            </w:pPr>
            <w:r>
              <w:rPr>
                <w:rFonts w:hint="eastAsia" w:ascii="宋体" w:hAnsi="宋体" w:eastAsia="宋体"/>
                <w:b/>
                <w:bCs/>
                <w:kern w:val="0"/>
                <w:sz w:val="20"/>
                <w:szCs w:val="20"/>
              </w:rPr>
              <w:t>建设期限</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b/>
                <w:bCs/>
                <w:kern w:val="0"/>
                <w:sz w:val="20"/>
                <w:szCs w:val="20"/>
                <w:lang w:eastAsia="zh-CN"/>
              </w:rPr>
            </w:pPr>
            <w:r>
              <w:rPr>
                <w:rFonts w:hint="eastAsia" w:ascii="宋体" w:hAnsi="宋体" w:eastAsia="宋体"/>
                <w:b/>
                <w:bCs/>
                <w:kern w:val="0"/>
                <w:sz w:val="20"/>
                <w:szCs w:val="20"/>
              </w:rPr>
              <w:t>总投资</w:t>
            </w:r>
          </w:p>
          <w:p>
            <w:pPr>
              <w:widowControl/>
              <w:spacing w:line="240" w:lineRule="auto"/>
              <w:ind w:firstLine="0" w:firstLineChars="0"/>
              <w:jc w:val="center"/>
              <w:textAlignment w:val="center"/>
              <w:rPr>
                <w:rFonts w:ascii="宋体" w:hAnsi="宋体" w:eastAsia="宋体"/>
                <w:b/>
                <w:bCs/>
                <w:sz w:val="20"/>
                <w:szCs w:val="20"/>
              </w:rPr>
            </w:pPr>
            <w:r>
              <w:rPr>
                <w:rFonts w:hint="eastAsia" w:ascii="宋体" w:hAnsi="宋体" w:eastAsia="宋体"/>
                <w:b/>
                <w:bCs/>
                <w:kern w:val="0"/>
                <w:sz w:val="20"/>
                <w:szCs w:val="20"/>
              </w:rPr>
              <w:t>（万元）</w:t>
            </w:r>
          </w:p>
        </w:tc>
        <w:tc>
          <w:tcPr>
            <w:tcW w:w="35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eastAsia="宋体"/>
                <w:b/>
                <w:bCs/>
                <w:sz w:val="20"/>
                <w:szCs w:val="20"/>
              </w:rPr>
            </w:pPr>
            <w:r>
              <w:rPr>
                <w:rFonts w:hint="eastAsia" w:ascii="宋体" w:hAnsi="宋体" w:eastAsia="宋体"/>
                <w:b/>
                <w:bCs/>
                <w:kern w:val="0"/>
                <w:sz w:val="20"/>
                <w:szCs w:val="20"/>
              </w:rPr>
              <w:t>责任单位</w:t>
            </w:r>
          </w:p>
        </w:tc>
      </w:tr>
      <w:tr>
        <w:tblPrEx>
          <w:tblCellMar>
            <w:top w:w="0" w:type="dxa"/>
            <w:left w:w="108" w:type="dxa"/>
            <w:bottom w:w="0" w:type="dxa"/>
            <w:right w:w="108" w:type="dxa"/>
          </w:tblCellMar>
        </w:tblPrEx>
        <w:trPr>
          <w:trHeight w:val="2550" w:hRule="atLeast"/>
          <w:jc w:val="center"/>
        </w:trPr>
        <w:tc>
          <w:tcPr>
            <w:tcW w:w="18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eastAsia="宋体"/>
                <w:sz w:val="20"/>
                <w:szCs w:val="20"/>
              </w:rPr>
            </w:pPr>
            <w:r>
              <w:rPr>
                <w:rFonts w:hint="eastAsia" w:ascii="宋体" w:hAnsi="宋体" w:eastAsia="宋体"/>
                <w:color w:val="000000"/>
                <w:kern w:val="0"/>
                <w:sz w:val="20"/>
                <w:szCs w:val="20"/>
              </w:rPr>
              <w:t>1</w:t>
            </w:r>
          </w:p>
        </w:tc>
        <w:tc>
          <w:tcPr>
            <w:tcW w:w="34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eastAsia="宋体"/>
                <w:sz w:val="20"/>
                <w:szCs w:val="20"/>
              </w:rPr>
            </w:pPr>
            <w:r>
              <w:rPr>
                <w:rFonts w:hint="eastAsia" w:ascii="宋体" w:hAnsi="宋体" w:eastAsia="宋体"/>
                <w:kern w:val="0"/>
                <w:sz w:val="20"/>
                <w:szCs w:val="20"/>
              </w:rPr>
              <w:t>农村生活污水治理</w:t>
            </w: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eastAsia="宋体"/>
                <w:sz w:val="20"/>
                <w:szCs w:val="20"/>
              </w:rPr>
            </w:pPr>
            <w:r>
              <w:rPr>
                <w:rFonts w:hint="eastAsia" w:ascii="宋体" w:hAnsi="宋体" w:eastAsia="宋体"/>
                <w:kern w:val="0"/>
                <w:sz w:val="20"/>
                <w:szCs w:val="20"/>
              </w:rPr>
              <w:t>德惠市农村生活污水治理工程</w:t>
            </w:r>
          </w:p>
        </w:tc>
        <w:tc>
          <w:tcPr>
            <w:tcW w:w="151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textAlignment w:val="center"/>
              <w:rPr>
                <w:rFonts w:ascii="宋体" w:hAnsi="宋体" w:eastAsia="宋体"/>
                <w:sz w:val="20"/>
                <w:szCs w:val="20"/>
              </w:rPr>
            </w:pPr>
            <w:r>
              <w:rPr>
                <w:rFonts w:hint="eastAsia" w:ascii="宋体" w:hAnsi="宋体" w:eastAsia="宋体"/>
                <w:kern w:val="0"/>
                <w:sz w:val="20"/>
                <w:szCs w:val="20"/>
              </w:rPr>
              <w:t>大房身镇吉旦沟、东夏家、二道、头道，松花江镇茶条村、松花江村、茂林村、高城子村、孙坨子村，达家沟镇张家村、天合村，布海镇刘家村、哈里村、岫岩村、义和村等村屯建设农村户用无害化卫生厕所和户用灰水收集箱转运至污水处理站。</w:t>
            </w:r>
          </w:p>
        </w:tc>
        <w:tc>
          <w:tcPr>
            <w:tcW w:w="26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eastAsia="宋体"/>
                <w:sz w:val="20"/>
                <w:szCs w:val="20"/>
              </w:rPr>
            </w:pPr>
            <w:r>
              <w:rPr>
                <w:rFonts w:hint="eastAsia" w:ascii="宋体" w:hAnsi="宋体" w:eastAsia="宋体"/>
                <w:kern w:val="0"/>
                <w:sz w:val="20"/>
                <w:szCs w:val="20"/>
              </w:rPr>
              <w:t>谋划</w:t>
            </w:r>
          </w:p>
        </w:tc>
        <w:tc>
          <w:tcPr>
            <w:tcW w:w="50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eastAsia="宋体"/>
                <w:sz w:val="20"/>
                <w:szCs w:val="20"/>
              </w:rPr>
            </w:pPr>
            <w:r>
              <w:rPr>
                <w:rFonts w:hint="eastAsia" w:ascii="宋体" w:hAnsi="宋体" w:eastAsia="宋体"/>
                <w:kern w:val="0"/>
                <w:sz w:val="20"/>
                <w:szCs w:val="20"/>
              </w:rPr>
              <w:t>德惠市农业农村局</w:t>
            </w:r>
          </w:p>
        </w:tc>
        <w:tc>
          <w:tcPr>
            <w:tcW w:w="47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eastAsia="宋体"/>
                <w:sz w:val="20"/>
                <w:szCs w:val="20"/>
              </w:rPr>
            </w:pPr>
            <w:r>
              <w:rPr>
                <w:rFonts w:hint="eastAsia" w:ascii="宋体" w:hAnsi="宋体" w:eastAsia="宋体"/>
                <w:kern w:val="0"/>
                <w:sz w:val="20"/>
                <w:szCs w:val="20"/>
              </w:rPr>
              <w:t>大房身镇、松花江镇、达家沟镇、布海镇</w:t>
            </w:r>
          </w:p>
        </w:tc>
        <w:tc>
          <w:tcPr>
            <w:tcW w:w="44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eastAsia="宋体"/>
                <w:sz w:val="20"/>
                <w:szCs w:val="20"/>
              </w:rPr>
            </w:pPr>
            <w:r>
              <w:rPr>
                <w:rFonts w:hint="eastAsia" w:ascii="宋体" w:hAnsi="宋体" w:eastAsia="宋体"/>
                <w:kern w:val="0"/>
                <w:sz w:val="20"/>
                <w:szCs w:val="20"/>
              </w:rPr>
              <w:t>2022-2025</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eastAsia="宋体"/>
                <w:sz w:val="20"/>
                <w:szCs w:val="20"/>
              </w:rPr>
            </w:pPr>
            <w:r>
              <w:rPr>
                <w:rFonts w:hint="eastAsia" w:ascii="宋体" w:hAnsi="宋体" w:eastAsia="宋体"/>
                <w:kern w:val="0"/>
                <w:sz w:val="20"/>
                <w:szCs w:val="20"/>
              </w:rPr>
              <w:t>1139.17</w:t>
            </w:r>
          </w:p>
        </w:tc>
        <w:tc>
          <w:tcPr>
            <w:tcW w:w="35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eastAsia="宋体"/>
                <w:sz w:val="20"/>
                <w:szCs w:val="20"/>
              </w:rPr>
            </w:pPr>
            <w:r>
              <w:rPr>
                <w:rFonts w:hint="eastAsia" w:ascii="宋体" w:hAnsi="宋体" w:eastAsia="宋体"/>
                <w:kern w:val="0"/>
                <w:sz w:val="20"/>
                <w:szCs w:val="20"/>
              </w:rPr>
              <w:t>大房身镇政府、松花江镇政府、达家沟镇政府、布海镇政府</w:t>
            </w:r>
          </w:p>
        </w:tc>
      </w:tr>
    </w:tbl>
    <w:p>
      <w:pPr>
        <w:ind w:firstLine="560"/>
      </w:pPr>
    </w:p>
    <w:sectPr>
      <w:footerReference r:id="rId8"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VK4UfSAQAAqwMAAA4AAABkcnMvZTJvRG9jLnhtbK1TzY7TMBC+I/EO&#10;lu80aYVQiZqukK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Wb6myTthaeaX798uP35d&#10;fn5lq6RQH7CixPtwB5OHZCa6Qws2/YkIG7Kq56uqaohMUnC5Xq3XJQku6Wx2CKd4uB4A41vlLUtG&#10;zYHGltUUp/cYx9Q5JVVz/lYbQ3FRGfdXgDDHiMqzn26n/seOkxWH/TDR2PvmTPTpNVDVzsMXznra&#10;hZo7Wn3OzDtHUqe1mQ2Yjf1sCCfpYs3HhjG8OUbqLjedio0ViGxyaIaZ9rRvaUn+9HPWwxvb/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RUrhR9IBAACrAwAADgAAAAAAAAABACAAAAAfAQAA&#10;ZHJzL2Uyb0RvYy54bWxQSwUGAAAAAAYABgBZAQAAYwUAAAAA&#10;">
          <v:path/>
          <v:fill on="f" focussize="0,0"/>
          <v:stroke on="f"/>
          <v:imagedata o:title=""/>
          <o:lock v:ext="edit"/>
          <v:textbox inset="0mm,0mm,0mm,0mm" style="mso-fit-shape-to-text:t;">
            <w:txbxContent>
              <w:p>
                <w:pPr>
                  <w:pStyle w:val="13"/>
                  <w:ind w:firstLine="360"/>
                </w:pPr>
                <w:r>
                  <w:fldChar w:fldCharType="begin"/>
                </w:r>
                <w:r>
                  <w:instrText xml:space="preserve"> PAGE  \* MERGEFORMAT </w:instrText>
                </w:r>
                <w:r>
                  <w:fldChar w:fldCharType="separate"/>
                </w:r>
                <w:r>
                  <w:t>I</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pict>
        <v:rect id="_x0000_s1028" o:spid="_x0000_s1028"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5fC3PAQAAqAMAAA4AAABkcnMvZTJvRG9jLnhtbK1TzY7TMBC+I/EO&#10;lu80bQ6oipquVqp2hYRgpYUHcB2nseQ/zbhNygPAG3Diwp3n6nMwdpIuLJc9cElmxuNv5vtmvLkZ&#10;rGEnBai9q/lqseRMOekb7Q41//zp7s2aM4zCNcJ4p2p+Vshvtq9fbfpQqdJ33jQKGIE4rPpQ8y7G&#10;UBUFyk5ZgQsflKPD1oMVkVw4FA2IntCtKcrl8m3Re2gCeKkQKbobD/mECC8B9G2rpdp5ebTKxREV&#10;lBGRKGGnA/Jt7rZtlYwf2xZVZKbmxDTmLxUhe5++xXYjqgOI0Gk5tSBe0sIzTlZoR0WvUDsRBTuC&#10;/gfKagkefRsX0ttiJJIVIRar5TNtHjsRVOZCUmO4io7/D1Z+OD0A003NS86csDTwy/dvlx+/Lj+/&#10;sjLJ0wesKOsxPMDkIZmJ69CCTX9iwYYs6fkqqRoikxRcrcv1eklqSzqbHcIpnq4HwHivvGXJqDnQ&#10;zLKU4vQe45g6p6Rqzt9pYyguKuP+ChDmGFF58NPt1P/YcbLisB8mGnvfnIk7PQWq2nn4wllPi1Bz&#10;R3vPmXnnSOe0M7MBs7GfDeEkXaz52DCG22Ok7nLTqdhYgcgmhwaYaU/LljbkTz9nPT2w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ZLl8Lc8BAACoAwAADgAAAAAAAAABACAAAAAfAQAAZHJz&#10;L2Uyb0RvYy54bWxQSwUGAAAAAAYABgBZAQAAYAUAAAAA&#10;">
          <v:path/>
          <v:fill on="f" focussize="0,0"/>
          <v:stroke on="f"/>
          <v:imagedata o:title=""/>
          <o:lock v:ext="edit"/>
          <v:textbox inset="0mm,0mm,0mm,0mm" style="mso-fit-shape-to-text:t;">
            <w:txbxContent>
              <w:p>
                <w:pPr>
                  <w:pStyle w:val="13"/>
                  <w:ind w:firstLine="360"/>
                </w:pPr>
                <w:r>
                  <w:fldChar w:fldCharType="begin"/>
                </w:r>
                <w:r>
                  <w:instrText xml:space="preserve"> PAGE  \* MERGEFORMAT </w:instrText>
                </w:r>
                <w:r>
                  <w:fldChar w:fldCharType="separate"/>
                </w:r>
                <w:r>
                  <w:t>1</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pict>
        <v:rect id="_x0000_s1027" o:spid="_x0000_s1027"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pIP3jPAQAAqAMAAA4AAABkcnMvZTJvRG9jLnhtbK1TzY7TMBC+I/EO&#10;lu80aQ+oipquVqp2hYRgpYUHcB2nseQ/zbhNygPAG3Diwp3n6nMwdpIuLJc9cElmxuNv5vtmvLkZ&#10;rGEnBai9q/lyUXKmnPSNdoeaf/5092bNGUbhGmG8UzU/K+Q329evNn2o1Mp33jQKGIE4rPpQ8y7G&#10;UBUFyk5ZgQsflKPD1oMVkVw4FA2IntCtKVZl+bboPTQBvFSIFN2Nh3xChJcA+rbVUu28PFrl4ogK&#10;yohIlLDTAfk2d9u2SsaPbYsqMlNzYhrzl4qQvU/fYrsR1QFE6LScWhAvaeEZJyu0o6JXqJ2Igh1B&#10;/wNltQSPvo0L6W0xEsmKEItl+Uybx04ElbmQ1BiuouP/g5UfTg/AdEObwJkTlgZ++f7t8uPX5edX&#10;tkry9AErynoMDzB5SGbiOrRg059YsCFLer5KqobIJAWX69V6XZLaks5mh3CKp+sBMN4rb1kyag40&#10;syylOL3HOKbOKama83faGIqLyri/AoQ5RlQe/HQ79T92nKw47IeJxt43Z+JOT4Gqdh6+cNbTItTc&#10;0d5zZt450jntzGzAbOxnQzhJF2s+Nozh9hipu9x0KjZWILLJoQFm2tOypQ35089ZTw9s+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ikg/eM8BAACoAwAADgAAAAAAAAABACAAAAAfAQAAZHJz&#10;L2Uyb0RvYy54bWxQSwUGAAAAAAYABgBZAQAAYAUAAAAA&#10;">
          <v:path/>
          <v:fill on="f" focussize="0,0"/>
          <v:stroke on="f"/>
          <v:imagedata o:title=""/>
          <o:lock v:ext="edit"/>
          <v:textbox inset="0mm,0mm,0mm,0mm" style="mso-fit-shape-to-text:t;">
            <w:txbxContent>
              <w:p>
                <w:pPr>
                  <w:pStyle w:val="13"/>
                  <w:ind w:firstLine="360"/>
                </w:pPr>
                <w:r>
                  <w:fldChar w:fldCharType="begin"/>
                </w:r>
                <w:r>
                  <w:instrText xml:space="preserve"> PAGE  \* MERGEFORMAT </w:instrText>
                </w:r>
                <w:r>
                  <w:fldChar w:fldCharType="separate"/>
                </w:r>
                <w:r>
                  <w:t>28</w:t>
                </w:r>
                <w: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hiN2U0MDY3YmUyODQ1Zjk0M2U2NjlhZDQ3NWNjMjMifQ=="/>
  </w:docVars>
  <w:rsids>
    <w:rsidRoot w:val="447954DD"/>
    <w:rsid w:val="0000559E"/>
    <w:rsid w:val="00005D12"/>
    <w:rsid w:val="00015512"/>
    <w:rsid w:val="00082F1E"/>
    <w:rsid w:val="00085954"/>
    <w:rsid w:val="000C2AC0"/>
    <w:rsid w:val="000C4A4B"/>
    <w:rsid w:val="000D10E2"/>
    <w:rsid w:val="000D6FA9"/>
    <w:rsid w:val="000E2B0F"/>
    <w:rsid w:val="000E4F2C"/>
    <w:rsid w:val="000E541C"/>
    <w:rsid w:val="00100DC7"/>
    <w:rsid w:val="0014430A"/>
    <w:rsid w:val="0015748A"/>
    <w:rsid w:val="0015776D"/>
    <w:rsid w:val="0017256D"/>
    <w:rsid w:val="00174541"/>
    <w:rsid w:val="0018239D"/>
    <w:rsid w:val="00182EA6"/>
    <w:rsid w:val="001C15C6"/>
    <w:rsid w:val="001D0074"/>
    <w:rsid w:val="001D2956"/>
    <w:rsid w:val="001D2DF1"/>
    <w:rsid w:val="002056B7"/>
    <w:rsid w:val="00212845"/>
    <w:rsid w:val="00273B68"/>
    <w:rsid w:val="002A023C"/>
    <w:rsid w:val="002A31FF"/>
    <w:rsid w:val="002A43DB"/>
    <w:rsid w:val="002B795D"/>
    <w:rsid w:val="002D70CD"/>
    <w:rsid w:val="002E6063"/>
    <w:rsid w:val="0032008E"/>
    <w:rsid w:val="003228F7"/>
    <w:rsid w:val="003235CB"/>
    <w:rsid w:val="0032456E"/>
    <w:rsid w:val="00326D7D"/>
    <w:rsid w:val="00333930"/>
    <w:rsid w:val="003667AB"/>
    <w:rsid w:val="00366E65"/>
    <w:rsid w:val="00367398"/>
    <w:rsid w:val="00376E40"/>
    <w:rsid w:val="00381434"/>
    <w:rsid w:val="003C643E"/>
    <w:rsid w:val="003D0C21"/>
    <w:rsid w:val="003E32D5"/>
    <w:rsid w:val="003F1704"/>
    <w:rsid w:val="003F2AD2"/>
    <w:rsid w:val="003F4EAC"/>
    <w:rsid w:val="00416C59"/>
    <w:rsid w:val="00422384"/>
    <w:rsid w:val="00425556"/>
    <w:rsid w:val="0044484B"/>
    <w:rsid w:val="00475BE3"/>
    <w:rsid w:val="00482760"/>
    <w:rsid w:val="004930EE"/>
    <w:rsid w:val="004978B7"/>
    <w:rsid w:val="004F5D3E"/>
    <w:rsid w:val="00526B25"/>
    <w:rsid w:val="00526B49"/>
    <w:rsid w:val="0054039F"/>
    <w:rsid w:val="005471D5"/>
    <w:rsid w:val="00550068"/>
    <w:rsid w:val="00573B4D"/>
    <w:rsid w:val="0057706F"/>
    <w:rsid w:val="00577222"/>
    <w:rsid w:val="00587584"/>
    <w:rsid w:val="00587CFE"/>
    <w:rsid w:val="005A08A8"/>
    <w:rsid w:val="005A2A96"/>
    <w:rsid w:val="005A560F"/>
    <w:rsid w:val="005A7317"/>
    <w:rsid w:val="005B1267"/>
    <w:rsid w:val="005C11B8"/>
    <w:rsid w:val="005C38B4"/>
    <w:rsid w:val="005D009C"/>
    <w:rsid w:val="005D42F1"/>
    <w:rsid w:val="00600CB7"/>
    <w:rsid w:val="00605FEE"/>
    <w:rsid w:val="00626045"/>
    <w:rsid w:val="006571F1"/>
    <w:rsid w:val="00663711"/>
    <w:rsid w:val="00677516"/>
    <w:rsid w:val="00680AD6"/>
    <w:rsid w:val="006B247B"/>
    <w:rsid w:val="006B4AD7"/>
    <w:rsid w:val="006B6C64"/>
    <w:rsid w:val="006F076C"/>
    <w:rsid w:val="006F0C5F"/>
    <w:rsid w:val="007046C5"/>
    <w:rsid w:val="00716F0A"/>
    <w:rsid w:val="0076268A"/>
    <w:rsid w:val="00762C1F"/>
    <w:rsid w:val="00776094"/>
    <w:rsid w:val="00794D60"/>
    <w:rsid w:val="007A7E30"/>
    <w:rsid w:val="007B7AB4"/>
    <w:rsid w:val="007D7A23"/>
    <w:rsid w:val="007E7CC4"/>
    <w:rsid w:val="00820948"/>
    <w:rsid w:val="00820A94"/>
    <w:rsid w:val="00830E9F"/>
    <w:rsid w:val="00860A20"/>
    <w:rsid w:val="00870AB4"/>
    <w:rsid w:val="008C1E09"/>
    <w:rsid w:val="008D3CB9"/>
    <w:rsid w:val="008D6731"/>
    <w:rsid w:val="008E6522"/>
    <w:rsid w:val="008F6111"/>
    <w:rsid w:val="008F661A"/>
    <w:rsid w:val="009003E0"/>
    <w:rsid w:val="009112F8"/>
    <w:rsid w:val="00916618"/>
    <w:rsid w:val="00954157"/>
    <w:rsid w:val="00955CBA"/>
    <w:rsid w:val="00971AED"/>
    <w:rsid w:val="009866FE"/>
    <w:rsid w:val="009C6A3B"/>
    <w:rsid w:val="009F0EAB"/>
    <w:rsid w:val="00A05B0F"/>
    <w:rsid w:val="00A11EB4"/>
    <w:rsid w:val="00A64987"/>
    <w:rsid w:val="00A9688B"/>
    <w:rsid w:val="00AA0B37"/>
    <w:rsid w:val="00AC6E5F"/>
    <w:rsid w:val="00AD119C"/>
    <w:rsid w:val="00AD3824"/>
    <w:rsid w:val="00AD3C45"/>
    <w:rsid w:val="00AE071E"/>
    <w:rsid w:val="00AF4181"/>
    <w:rsid w:val="00B1020F"/>
    <w:rsid w:val="00B254BF"/>
    <w:rsid w:val="00B26177"/>
    <w:rsid w:val="00B2635D"/>
    <w:rsid w:val="00B54585"/>
    <w:rsid w:val="00B65356"/>
    <w:rsid w:val="00B81025"/>
    <w:rsid w:val="00BA5B79"/>
    <w:rsid w:val="00BF6AFD"/>
    <w:rsid w:val="00C00665"/>
    <w:rsid w:val="00C32549"/>
    <w:rsid w:val="00C37136"/>
    <w:rsid w:val="00C40DEF"/>
    <w:rsid w:val="00C4333E"/>
    <w:rsid w:val="00C44215"/>
    <w:rsid w:val="00C82256"/>
    <w:rsid w:val="00CB2518"/>
    <w:rsid w:val="00CF25F7"/>
    <w:rsid w:val="00CF6D70"/>
    <w:rsid w:val="00D00377"/>
    <w:rsid w:val="00D17368"/>
    <w:rsid w:val="00D269FB"/>
    <w:rsid w:val="00D92AAA"/>
    <w:rsid w:val="00D92E77"/>
    <w:rsid w:val="00DC5283"/>
    <w:rsid w:val="00DD5889"/>
    <w:rsid w:val="00DE46A2"/>
    <w:rsid w:val="00E27985"/>
    <w:rsid w:val="00E47277"/>
    <w:rsid w:val="00E50200"/>
    <w:rsid w:val="00E53A78"/>
    <w:rsid w:val="00E60800"/>
    <w:rsid w:val="00E815FA"/>
    <w:rsid w:val="00EA32C4"/>
    <w:rsid w:val="00F00510"/>
    <w:rsid w:val="00F00F02"/>
    <w:rsid w:val="00F02E6C"/>
    <w:rsid w:val="00F0522F"/>
    <w:rsid w:val="00F12501"/>
    <w:rsid w:val="00F252E8"/>
    <w:rsid w:val="00F71736"/>
    <w:rsid w:val="00F902A5"/>
    <w:rsid w:val="00FB4A7A"/>
    <w:rsid w:val="00FC1F2F"/>
    <w:rsid w:val="00FC6F87"/>
    <w:rsid w:val="00FD18A2"/>
    <w:rsid w:val="00FE0692"/>
    <w:rsid w:val="00FE284E"/>
    <w:rsid w:val="00FF2132"/>
    <w:rsid w:val="00FF5D79"/>
    <w:rsid w:val="010D6E0F"/>
    <w:rsid w:val="011D61A5"/>
    <w:rsid w:val="01206F6C"/>
    <w:rsid w:val="01211B88"/>
    <w:rsid w:val="01335408"/>
    <w:rsid w:val="01483B51"/>
    <w:rsid w:val="016162A2"/>
    <w:rsid w:val="01616948"/>
    <w:rsid w:val="01833CED"/>
    <w:rsid w:val="01E9752B"/>
    <w:rsid w:val="01F42A53"/>
    <w:rsid w:val="0216567A"/>
    <w:rsid w:val="021D1C16"/>
    <w:rsid w:val="021F6A08"/>
    <w:rsid w:val="02226DCD"/>
    <w:rsid w:val="024066BF"/>
    <w:rsid w:val="024253D3"/>
    <w:rsid w:val="025B0C5A"/>
    <w:rsid w:val="02755E3E"/>
    <w:rsid w:val="03215A0B"/>
    <w:rsid w:val="03335425"/>
    <w:rsid w:val="0360634D"/>
    <w:rsid w:val="0381732F"/>
    <w:rsid w:val="03E970A1"/>
    <w:rsid w:val="03F26CC8"/>
    <w:rsid w:val="041224E9"/>
    <w:rsid w:val="0454676B"/>
    <w:rsid w:val="04581FBA"/>
    <w:rsid w:val="04714884"/>
    <w:rsid w:val="04786A62"/>
    <w:rsid w:val="04DC1B53"/>
    <w:rsid w:val="04E84FD3"/>
    <w:rsid w:val="04EA2587"/>
    <w:rsid w:val="052110A8"/>
    <w:rsid w:val="05265207"/>
    <w:rsid w:val="0535228F"/>
    <w:rsid w:val="053D2597"/>
    <w:rsid w:val="055200D0"/>
    <w:rsid w:val="055F3FDB"/>
    <w:rsid w:val="056C2ACB"/>
    <w:rsid w:val="05825157"/>
    <w:rsid w:val="05A329EE"/>
    <w:rsid w:val="05AC5ECB"/>
    <w:rsid w:val="05F24238"/>
    <w:rsid w:val="060D6728"/>
    <w:rsid w:val="06164066"/>
    <w:rsid w:val="06211CA6"/>
    <w:rsid w:val="06381805"/>
    <w:rsid w:val="06A5322D"/>
    <w:rsid w:val="06A91F65"/>
    <w:rsid w:val="06C25F5C"/>
    <w:rsid w:val="06C460A2"/>
    <w:rsid w:val="06C97AFD"/>
    <w:rsid w:val="06CC03E6"/>
    <w:rsid w:val="07006971"/>
    <w:rsid w:val="071151AF"/>
    <w:rsid w:val="07220944"/>
    <w:rsid w:val="073160EB"/>
    <w:rsid w:val="073F65ED"/>
    <w:rsid w:val="07452515"/>
    <w:rsid w:val="0758401C"/>
    <w:rsid w:val="07B27F31"/>
    <w:rsid w:val="07E2312B"/>
    <w:rsid w:val="07EF2F99"/>
    <w:rsid w:val="07F64ABC"/>
    <w:rsid w:val="08155F52"/>
    <w:rsid w:val="082E2468"/>
    <w:rsid w:val="0843502D"/>
    <w:rsid w:val="084F2249"/>
    <w:rsid w:val="089506B0"/>
    <w:rsid w:val="089D2C15"/>
    <w:rsid w:val="08D72979"/>
    <w:rsid w:val="08E562D8"/>
    <w:rsid w:val="08EA6A8B"/>
    <w:rsid w:val="091D0DD3"/>
    <w:rsid w:val="09312CA6"/>
    <w:rsid w:val="09321C49"/>
    <w:rsid w:val="09455933"/>
    <w:rsid w:val="09571B5F"/>
    <w:rsid w:val="096B52E7"/>
    <w:rsid w:val="096C6229"/>
    <w:rsid w:val="09A912D4"/>
    <w:rsid w:val="09B35E0D"/>
    <w:rsid w:val="09D46035"/>
    <w:rsid w:val="09D549D4"/>
    <w:rsid w:val="09FB7D12"/>
    <w:rsid w:val="09FF4B57"/>
    <w:rsid w:val="0A2D4BEF"/>
    <w:rsid w:val="0A53598C"/>
    <w:rsid w:val="0A6D7511"/>
    <w:rsid w:val="0AC34CAE"/>
    <w:rsid w:val="0B4F015A"/>
    <w:rsid w:val="0B5F23EF"/>
    <w:rsid w:val="0B861B9C"/>
    <w:rsid w:val="0B926902"/>
    <w:rsid w:val="0BA47C61"/>
    <w:rsid w:val="0BCC39A0"/>
    <w:rsid w:val="0C041E0A"/>
    <w:rsid w:val="0C1B2C94"/>
    <w:rsid w:val="0C367B1A"/>
    <w:rsid w:val="0C3834AF"/>
    <w:rsid w:val="0C5A58A5"/>
    <w:rsid w:val="0C766B89"/>
    <w:rsid w:val="0C8E46C5"/>
    <w:rsid w:val="0C9B6048"/>
    <w:rsid w:val="0CDF57B5"/>
    <w:rsid w:val="0CF674FA"/>
    <w:rsid w:val="0D00401D"/>
    <w:rsid w:val="0D3B0819"/>
    <w:rsid w:val="0D3C0304"/>
    <w:rsid w:val="0D506096"/>
    <w:rsid w:val="0D5D6832"/>
    <w:rsid w:val="0D647C0B"/>
    <w:rsid w:val="0D7D7389"/>
    <w:rsid w:val="0D8F4B87"/>
    <w:rsid w:val="0DA077FF"/>
    <w:rsid w:val="0DAD4A3D"/>
    <w:rsid w:val="0DB17BE0"/>
    <w:rsid w:val="0DFB6DE8"/>
    <w:rsid w:val="0E076315"/>
    <w:rsid w:val="0E083E15"/>
    <w:rsid w:val="0E397B24"/>
    <w:rsid w:val="0E46373A"/>
    <w:rsid w:val="0E511C4A"/>
    <w:rsid w:val="0E913A03"/>
    <w:rsid w:val="0EA4032F"/>
    <w:rsid w:val="0EAC2615"/>
    <w:rsid w:val="0EFB553F"/>
    <w:rsid w:val="0F1D2BF7"/>
    <w:rsid w:val="0F485C2B"/>
    <w:rsid w:val="0F5268BB"/>
    <w:rsid w:val="0F631819"/>
    <w:rsid w:val="0FAE737D"/>
    <w:rsid w:val="0FB82380"/>
    <w:rsid w:val="0FBD54DC"/>
    <w:rsid w:val="0FD51CD8"/>
    <w:rsid w:val="0FD76288"/>
    <w:rsid w:val="0FEE6409"/>
    <w:rsid w:val="10025FA9"/>
    <w:rsid w:val="100E442D"/>
    <w:rsid w:val="101A4FE7"/>
    <w:rsid w:val="10356635"/>
    <w:rsid w:val="10422601"/>
    <w:rsid w:val="1047450F"/>
    <w:rsid w:val="104F3990"/>
    <w:rsid w:val="105235C9"/>
    <w:rsid w:val="107A07B7"/>
    <w:rsid w:val="10B75F3F"/>
    <w:rsid w:val="10C33FCF"/>
    <w:rsid w:val="10D444EA"/>
    <w:rsid w:val="10DE0341"/>
    <w:rsid w:val="10F83115"/>
    <w:rsid w:val="10F84F15"/>
    <w:rsid w:val="110E069C"/>
    <w:rsid w:val="11115AC3"/>
    <w:rsid w:val="11374596"/>
    <w:rsid w:val="113A0CE1"/>
    <w:rsid w:val="11502E6F"/>
    <w:rsid w:val="116E4A01"/>
    <w:rsid w:val="116E678E"/>
    <w:rsid w:val="11701AC4"/>
    <w:rsid w:val="11AF752D"/>
    <w:rsid w:val="11FF41BD"/>
    <w:rsid w:val="120B1B18"/>
    <w:rsid w:val="122426CC"/>
    <w:rsid w:val="12492041"/>
    <w:rsid w:val="124C48A3"/>
    <w:rsid w:val="12814C45"/>
    <w:rsid w:val="12857517"/>
    <w:rsid w:val="12900826"/>
    <w:rsid w:val="12C039CA"/>
    <w:rsid w:val="131B18B2"/>
    <w:rsid w:val="13350D10"/>
    <w:rsid w:val="133D15F4"/>
    <w:rsid w:val="135021DA"/>
    <w:rsid w:val="135230B6"/>
    <w:rsid w:val="13524703"/>
    <w:rsid w:val="135D460E"/>
    <w:rsid w:val="13655510"/>
    <w:rsid w:val="1371326C"/>
    <w:rsid w:val="138D3156"/>
    <w:rsid w:val="13B832DA"/>
    <w:rsid w:val="13FF16C4"/>
    <w:rsid w:val="147268E5"/>
    <w:rsid w:val="14796720"/>
    <w:rsid w:val="148208E7"/>
    <w:rsid w:val="149266A1"/>
    <w:rsid w:val="14FA3715"/>
    <w:rsid w:val="150461AB"/>
    <w:rsid w:val="15332597"/>
    <w:rsid w:val="15815E8F"/>
    <w:rsid w:val="159E27BF"/>
    <w:rsid w:val="15B5318E"/>
    <w:rsid w:val="15BE425E"/>
    <w:rsid w:val="15D07DE6"/>
    <w:rsid w:val="15D22D30"/>
    <w:rsid w:val="16080B84"/>
    <w:rsid w:val="160C56D3"/>
    <w:rsid w:val="161E7924"/>
    <w:rsid w:val="16260E6F"/>
    <w:rsid w:val="1674557F"/>
    <w:rsid w:val="16841C03"/>
    <w:rsid w:val="168B0A91"/>
    <w:rsid w:val="16954D0F"/>
    <w:rsid w:val="16EA3FC5"/>
    <w:rsid w:val="17396629"/>
    <w:rsid w:val="1765711A"/>
    <w:rsid w:val="17823441"/>
    <w:rsid w:val="17AC6310"/>
    <w:rsid w:val="17BD7F09"/>
    <w:rsid w:val="17EF67C1"/>
    <w:rsid w:val="182F590B"/>
    <w:rsid w:val="18702AA4"/>
    <w:rsid w:val="1875486A"/>
    <w:rsid w:val="18A015DD"/>
    <w:rsid w:val="18E53A4F"/>
    <w:rsid w:val="191669C8"/>
    <w:rsid w:val="19190945"/>
    <w:rsid w:val="19572473"/>
    <w:rsid w:val="19586777"/>
    <w:rsid w:val="199F0ECE"/>
    <w:rsid w:val="19BA2931"/>
    <w:rsid w:val="19E135EF"/>
    <w:rsid w:val="19E8633D"/>
    <w:rsid w:val="19EF4313"/>
    <w:rsid w:val="1A192203"/>
    <w:rsid w:val="1A4A2845"/>
    <w:rsid w:val="1A4A332D"/>
    <w:rsid w:val="1A656D4B"/>
    <w:rsid w:val="1A796E60"/>
    <w:rsid w:val="1A8227BF"/>
    <w:rsid w:val="1AB72581"/>
    <w:rsid w:val="1AD15817"/>
    <w:rsid w:val="1B056EBE"/>
    <w:rsid w:val="1B117F62"/>
    <w:rsid w:val="1B211200"/>
    <w:rsid w:val="1B677382"/>
    <w:rsid w:val="1B8C6C68"/>
    <w:rsid w:val="1B9147F1"/>
    <w:rsid w:val="1BE2142C"/>
    <w:rsid w:val="1C1B691F"/>
    <w:rsid w:val="1C43752D"/>
    <w:rsid w:val="1C4B3003"/>
    <w:rsid w:val="1C535C9C"/>
    <w:rsid w:val="1C590A0D"/>
    <w:rsid w:val="1C670619"/>
    <w:rsid w:val="1C83130A"/>
    <w:rsid w:val="1CD46F59"/>
    <w:rsid w:val="1CDB2E53"/>
    <w:rsid w:val="1CDF3E1C"/>
    <w:rsid w:val="1CE205D9"/>
    <w:rsid w:val="1CF213F8"/>
    <w:rsid w:val="1CFB7AE8"/>
    <w:rsid w:val="1D1B5BBA"/>
    <w:rsid w:val="1D2E152E"/>
    <w:rsid w:val="1D39307C"/>
    <w:rsid w:val="1D4A1AD7"/>
    <w:rsid w:val="1D674777"/>
    <w:rsid w:val="1DC01EFB"/>
    <w:rsid w:val="1DCD2133"/>
    <w:rsid w:val="1DD34CA9"/>
    <w:rsid w:val="1DD632E7"/>
    <w:rsid w:val="1DEA0B59"/>
    <w:rsid w:val="1E2F38ED"/>
    <w:rsid w:val="1E31538B"/>
    <w:rsid w:val="1E3D1B6E"/>
    <w:rsid w:val="1E49393D"/>
    <w:rsid w:val="1E5177C9"/>
    <w:rsid w:val="1E607FC5"/>
    <w:rsid w:val="1E841C17"/>
    <w:rsid w:val="1E8A372B"/>
    <w:rsid w:val="1E995A80"/>
    <w:rsid w:val="1EB75026"/>
    <w:rsid w:val="1EBF5752"/>
    <w:rsid w:val="1EE66012"/>
    <w:rsid w:val="1EF92BE5"/>
    <w:rsid w:val="1F081874"/>
    <w:rsid w:val="1F173A84"/>
    <w:rsid w:val="1F2E5844"/>
    <w:rsid w:val="1F514AAD"/>
    <w:rsid w:val="1F5E661F"/>
    <w:rsid w:val="1F795178"/>
    <w:rsid w:val="1F852496"/>
    <w:rsid w:val="1F8C3B1D"/>
    <w:rsid w:val="1F9A1E7A"/>
    <w:rsid w:val="1FEF4C98"/>
    <w:rsid w:val="201700DF"/>
    <w:rsid w:val="20234DE1"/>
    <w:rsid w:val="20494EF7"/>
    <w:rsid w:val="20631663"/>
    <w:rsid w:val="207C0B26"/>
    <w:rsid w:val="20C71FBE"/>
    <w:rsid w:val="21137F1D"/>
    <w:rsid w:val="214F2556"/>
    <w:rsid w:val="215765E8"/>
    <w:rsid w:val="21583EA5"/>
    <w:rsid w:val="216F28DD"/>
    <w:rsid w:val="2178084E"/>
    <w:rsid w:val="219226A1"/>
    <w:rsid w:val="21BF7CE5"/>
    <w:rsid w:val="21D83465"/>
    <w:rsid w:val="21D84C12"/>
    <w:rsid w:val="21DE27D9"/>
    <w:rsid w:val="21E90955"/>
    <w:rsid w:val="221D28B5"/>
    <w:rsid w:val="224E7795"/>
    <w:rsid w:val="225F64A8"/>
    <w:rsid w:val="226E0FF4"/>
    <w:rsid w:val="22934192"/>
    <w:rsid w:val="229729B7"/>
    <w:rsid w:val="22AF7332"/>
    <w:rsid w:val="22B97392"/>
    <w:rsid w:val="22D030F8"/>
    <w:rsid w:val="22D15B47"/>
    <w:rsid w:val="22D969DD"/>
    <w:rsid w:val="23046DA2"/>
    <w:rsid w:val="233165FF"/>
    <w:rsid w:val="23357FD4"/>
    <w:rsid w:val="23502D1E"/>
    <w:rsid w:val="23782116"/>
    <w:rsid w:val="23953D3B"/>
    <w:rsid w:val="23A6492A"/>
    <w:rsid w:val="23B261C1"/>
    <w:rsid w:val="23F42E75"/>
    <w:rsid w:val="23F959BA"/>
    <w:rsid w:val="242A0C46"/>
    <w:rsid w:val="243F2616"/>
    <w:rsid w:val="24404CA8"/>
    <w:rsid w:val="249A2175"/>
    <w:rsid w:val="24AB096F"/>
    <w:rsid w:val="24BD7649"/>
    <w:rsid w:val="24CE509E"/>
    <w:rsid w:val="24D94045"/>
    <w:rsid w:val="24E11C21"/>
    <w:rsid w:val="24E71581"/>
    <w:rsid w:val="250A1F54"/>
    <w:rsid w:val="25391AF2"/>
    <w:rsid w:val="254951CE"/>
    <w:rsid w:val="2596680B"/>
    <w:rsid w:val="25977374"/>
    <w:rsid w:val="25F61AE9"/>
    <w:rsid w:val="25F8074D"/>
    <w:rsid w:val="26061DF6"/>
    <w:rsid w:val="263A2F4C"/>
    <w:rsid w:val="26735D79"/>
    <w:rsid w:val="2698064E"/>
    <w:rsid w:val="26C66639"/>
    <w:rsid w:val="26CC6F5C"/>
    <w:rsid w:val="26CF0C3A"/>
    <w:rsid w:val="26FA3C9E"/>
    <w:rsid w:val="26FC3DD6"/>
    <w:rsid w:val="27057FE2"/>
    <w:rsid w:val="272C10D1"/>
    <w:rsid w:val="27350C64"/>
    <w:rsid w:val="2769797E"/>
    <w:rsid w:val="27895A38"/>
    <w:rsid w:val="279B708B"/>
    <w:rsid w:val="27B65158"/>
    <w:rsid w:val="27BC3C2E"/>
    <w:rsid w:val="27F224B5"/>
    <w:rsid w:val="28010552"/>
    <w:rsid w:val="28215E20"/>
    <w:rsid w:val="2843667C"/>
    <w:rsid w:val="28493077"/>
    <w:rsid w:val="28533DE1"/>
    <w:rsid w:val="285E7081"/>
    <w:rsid w:val="28B42A96"/>
    <w:rsid w:val="28E630E2"/>
    <w:rsid w:val="28E77519"/>
    <w:rsid w:val="28ED6D42"/>
    <w:rsid w:val="28EE2674"/>
    <w:rsid w:val="290D6410"/>
    <w:rsid w:val="29225098"/>
    <w:rsid w:val="29336D18"/>
    <w:rsid w:val="296312CC"/>
    <w:rsid w:val="297036C2"/>
    <w:rsid w:val="29BE5985"/>
    <w:rsid w:val="29C01EF1"/>
    <w:rsid w:val="29C0416E"/>
    <w:rsid w:val="29C2141B"/>
    <w:rsid w:val="29D92AFF"/>
    <w:rsid w:val="29F64224"/>
    <w:rsid w:val="29FB6AA6"/>
    <w:rsid w:val="2A00265A"/>
    <w:rsid w:val="2A071C11"/>
    <w:rsid w:val="2A2D076F"/>
    <w:rsid w:val="2A2F4DDE"/>
    <w:rsid w:val="2A342D18"/>
    <w:rsid w:val="2A3F423E"/>
    <w:rsid w:val="2A564B4C"/>
    <w:rsid w:val="2A5D5379"/>
    <w:rsid w:val="2A603AFE"/>
    <w:rsid w:val="2A69314C"/>
    <w:rsid w:val="2A956115"/>
    <w:rsid w:val="2AAA5DED"/>
    <w:rsid w:val="2AB07ED0"/>
    <w:rsid w:val="2AB453CA"/>
    <w:rsid w:val="2AD2594E"/>
    <w:rsid w:val="2B022601"/>
    <w:rsid w:val="2B052255"/>
    <w:rsid w:val="2B26673D"/>
    <w:rsid w:val="2B7B1F4B"/>
    <w:rsid w:val="2BD444D0"/>
    <w:rsid w:val="2C166DF2"/>
    <w:rsid w:val="2C1A2F25"/>
    <w:rsid w:val="2C1F4836"/>
    <w:rsid w:val="2C353ED6"/>
    <w:rsid w:val="2C4122DC"/>
    <w:rsid w:val="2C661693"/>
    <w:rsid w:val="2C996A24"/>
    <w:rsid w:val="2CA70146"/>
    <w:rsid w:val="2CCC1365"/>
    <w:rsid w:val="2CD21612"/>
    <w:rsid w:val="2D2D0932"/>
    <w:rsid w:val="2D505645"/>
    <w:rsid w:val="2D784305"/>
    <w:rsid w:val="2D9A281F"/>
    <w:rsid w:val="2DCA0819"/>
    <w:rsid w:val="2DCD145A"/>
    <w:rsid w:val="2DD85F11"/>
    <w:rsid w:val="2E12519D"/>
    <w:rsid w:val="2E246159"/>
    <w:rsid w:val="2E251BD9"/>
    <w:rsid w:val="2E510E05"/>
    <w:rsid w:val="2E5356F8"/>
    <w:rsid w:val="2E58266F"/>
    <w:rsid w:val="2E7C2D27"/>
    <w:rsid w:val="2E925B41"/>
    <w:rsid w:val="2E9D2AB2"/>
    <w:rsid w:val="2EEE44E5"/>
    <w:rsid w:val="2EF55AB3"/>
    <w:rsid w:val="2F2A5F24"/>
    <w:rsid w:val="2F395009"/>
    <w:rsid w:val="2F5201DB"/>
    <w:rsid w:val="2FD52F89"/>
    <w:rsid w:val="2FE327CF"/>
    <w:rsid w:val="302A5FF5"/>
    <w:rsid w:val="302E122C"/>
    <w:rsid w:val="303848AB"/>
    <w:rsid w:val="30412471"/>
    <w:rsid w:val="308A449C"/>
    <w:rsid w:val="30A8769A"/>
    <w:rsid w:val="30AD400F"/>
    <w:rsid w:val="30DA611F"/>
    <w:rsid w:val="311625F7"/>
    <w:rsid w:val="311F3A6C"/>
    <w:rsid w:val="31592814"/>
    <w:rsid w:val="315930B9"/>
    <w:rsid w:val="31596019"/>
    <w:rsid w:val="315B569B"/>
    <w:rsid w:val="31774367"/>
    <w:rsid w:val="31781658"/>
    <w:rsid w:val="322616A9"/>
    <w:rsid w:val="32301784"/>
    <w:rsid w:val="32465A60"/>
    <w:rsid w:val="3273769F"/>
    <w:rsid w:val="32964176"/>
    <w:rsid w:val="32A62107"/>
    <w:rsid w:val="32C3012F"/>
    <w:rsid w:val="32E014DC"/>
    <w:rsid w:val="32E47882"/>
    <w:rsid w:val="33550A81"/>
    <w:rsid w:val="3358705B"/>
    <w:rsid w:val="3372441F"/>
    <w:rsid w:val="3392098A"/>
    <w:rsid w:val="33992951"/>
    <w:rsid w:val="33B06367"/>
    <w:rsid w:val="33BD7451"/>
    <w:rsid w:val="33BE65AB"/>
    <w:rsid w:val="33C853B8"/>
    <w:rsid w:val="33C85821"/>
    <w:rsid w:val="34263456"/>
    <w:rsid w:val="342A2619"/>
    <w:rsid w:val="3435607D"/>
    <w:rsid w:val="34376BCA"/>
    <w:rsid w:val="34440D68"/>
    <w:rsid w:val="344B4572"/>
    <w:rsid w:val="34900BF1"/>
    <w:rsid w:val="34960740"/>
    <w:rsid w:val="349A1EF9"/>
    <w:rsid w:val="34B94F1F"/>
    <w:rsid w:val="34C30E18"/>
    <w:rsid w:val="34C625A9"/>
    <w:rsid w:val="34E37A70"/>
    <w:rsid w:val="35380438"/>
    <w:rsid w:val="353D22BD"/>
    <w:rsid w:val="35B96AB2"/>
    <w:rsid w:val="360D1240"/>
    <w:rsid w:val="36353910"/>
    <w:rsid w:val="363B49DB"/>
    <w:rsid w:val="364A7C7A"/>
    <w:rsid w:val="364E453E"/>
    <w:rsid w:val="365743FB"/>
    <w:rsid w:val="36EE40C8"/>
    <w:rsid w:val="36FC2141"/>
    <w:rsid w:val="37020F20"/>
    <w:rsid w:val="37023AC9"/>
    <w:rsid w:val="3723263A"/>
    <w:rsid w:val="375C3D58"/>
    <w:rsid w:val="37A95A58"/>
    <w:rsid w:val="37B7052F"/>
    <w:rsid w:val="380A4202"/>
    <w:rsid w:val="38535994"/>
    <w:rsid w:val="386D2F43"/>
    <w:rsid w:val="38817B80"/>
    <w:rsid w:val="388B361B"/>
    <w:rsid w:val="388D15F5"/>
    <w:rsid w:val="389B272B"/>
    <w:rsid w:val="389F08CF"/>
    <w:rsid w:val="38B606EB"/>
    <w:rsid w:val="38F76877"/>
    <w:rsid w:val="39060ECA"/>
    <w:rsid w:val="3912087B"/>
    <w:rsid w:val="3924392B"/>
    <w:rsid w:val="393F2A82"/>
    <w:rsid w:val="394A4265"/>
    <w:rsid w:val="395515A4"/>
    <w:rsid w:val="39A747E1"/>
    <w:rsid w:val="39DE3458"/>
    <w:rsid w:val="39EB7198"/>
    <w:rsid w:val="3A0108FE"/>
    <w:rsid w:val="3A1D1EDA"/>
    <w:rsid w:val="3A517DDF"/>
    <w:rsid w:val="3A545E4E"/>
    <w:rsid w:val="3A593E24"/>
    <w:rsid w:val="3A603DFE"/>
    <w:rsid w:val="3A8D1229"/>
    <w:rsid w:val="3A9C2454"/>
    <w:rsid w:val="3AA53BBC"/>
    <w:rsid w:val="3AB037CC"/>
    <w:rsid w:val="3AC87D00"/>
    <w:rsid w:val="3ACE1EFC"/>
    <w:rsid w:val="3AD572EF"/>
    <w:rsid w:val="3B2852AC"/>
    <w:rsid w:val="3B2D3B01"/>
    <w:rsid w:val="3B441BF5"/>
    <w:rsid w:val="3B4E1EB5"/>
    <w:rsid w:val="3B5F43FC"/>
    <w:rsid w:val="3B7E31BB"/>
    <w:rsid w:val="3BD1506A"/>
    <w:rsid w:val="3C1747FA"/>
    <w:rsid w:val="3C512505"/>
    <w:rsid w:val="3C7F0F1B"/>
    <w:rsid w:val="3CA11E1E"/>
    <w:rsid w:val="3CAD0F42"/>
    <w:rsid w:val="3CD6711C"/>
    <w:rsid w:val="3CEB6067"/>
    <w:rsid w:val="3CFB44C8"/>
    <w:rsid w:val="3CFF02B8"/>
    <w:rsid w:val="3D084200"/>
    <w:rsid w:val="3D103B15"/>
    <w:rsid w:val="3D1130FE"/>
    <w:rsid w:val="3D504798"/>
    <w:rsid w:val="3D730B13"/>
    <w:rsid w:val="3D7409E4"/>
    <w:rsid w:val="3D776FF9"/>
    <w:rsid w:val="3DA75293"/>
    <w:rsid w:val="3DC6188F"/>
    <w:rsid w:val="3DCA761A"/>
    <w:rsid w:val="3DD77D90"/>
    <w:rsid w:val="3E270E45"/>
    <w:rsid w:val="3E423852"/>
    <w:rsid w:val="3E435111"/>
    <w:rsid w:val="3E483A11"/>
    <w:rsid w:val="3E640598"/>
    <w:rsid w:val="3E9936D4"/>
    <w:rsid w:val="3EAB4177"/>
    <w:rsid w:val="3EAD03F2"/>
    <w:rsid w:val="3ECB379F"/>
    <w:rsid w:val="3ED24A8F"/>
    <w:rsid w:val="3ED65ACB"/>
    <w:rsid w:val="3EE105A7"/>
    <w:rsid w:val="3EEC1527"/>
    <w:rsid w:val="3EF97C38"/>
    <w:rsid w:val="3EFD0C4A"/>
    <w:rsid w:val="3F047F72"/>
    <w:rsid w:val="3F1A3239"/>
    <w:rsid w:val="3F344904"/>
    <w:rsid w:val="3F48209E"/>
    <w:rsid w:val="3F5721D1"/>
    <w:rsid w:val="3F6E579F"/>
    <w:rsid w:val="3F7F5630"/>
    <w:rsid w:val="3F80467B"/>
    <w:rsid w:val="3F962705"/>
    <w:rsid w:val="3FE227F9"/>
    <w:rsid w:val="3FEE0952"/>
    <w:rsid w:val="400326B6"/>
    <w:rsid w:val="40370666"/>
    <w:rsid w:val="40432653"/>
    <w:rsid w:val="40536781"/>
    <w:rsid w:val="405D5CE7"/>
    <w:rsid w:val="4065090C"/>
    <w:rsid w:val="40761635"/>
    <w:rsid w:val="40A42E8E"/>
    <w:rsid w:val="40EF2C19"/>
    <w:rsid w:val="411604DF"/>
    <w:rsid w:val="41163D89"/>
    <w:rsid w:val="41404647"/>
    <w:rsid w:val="41483E0C"/>
    <w:rsid w:val="414A4443"/>
    <w:rsid w:val="41A36EDC"/>
    <w:rsid w:val="41B03994"/>
    <w:rsid w:val="41CB439C"/>
    <w:rsid w:val="41CD0302"/>
    <w:rsid w:val="41D9126E"/>
    <w:rsid w:val="41F139A2"/>
    <w:rsid w:val="420F2C6D"/>
    <w:rsid w:val="421F66BE"/>
    <w:rsid w:val="422C2252"/>
    <w:rsid w:val="42504AD4"/>
    <w:rsid w:val="425D78A2"/>
    <w:rsid w:val="42F578AA"/>
    <w:rsid w:val="42F7655C"/>
    <w:rsid w:val="42F82A04"/>
    <w:rsid w:val="42FD6CC1"/>
    <w:rsid w:val="433235A8"/>
    <w:rsid w:val="43534F89"/>
    <w:rsid w:val="43783423"/>
    <w:rsid w:val="43841022"/>
    <w:rsid w:val="43B03F2F"/>
    <w:rsid w:val="43C14F1B"/>
    <w:rsid w:val="43C22553"/>
    <w:rsid w:val="44051C05"/>
    <w:rsid w:val="440525B4"/>
    <w:rsid w:val="44583494"/>
    <w:rsid w:val="445B19E9"/>
    <w:rsid w:val="44727894"/>
    <w:rsid w:val="447954DD"/>
    <w:rsid w:val="448A3CD9"/>
    <w:rsid w:val="448B08AC"/>
    <w:rsid w:val="44B605DE"/>
    <w:rsid w:val="44B8537C"/>
    <w:rsid w:val="44C43BA3"/>
    <w:rsid w:val="44DA7E26"/>
    <w:rsid w:val="44E03D3C"/>
    <w:rsid w:val="44F8288D"/>
    <w:rsid w:val="45A65FE6"/>
    <w:rsid w:val="45D404FF"/>
    <w:rsid w:val="460F7391"/>
    <w:rsid w:val="461E7AD2"/>
    <w:rsid w:val="462226D7"/>
    <w:rsid w:val="465912BA"/>
    <w:rsid w:val="465F7F5F"/>
    <w:rsid w:val="46A31652"/>
    <w:rsid w:val="46AD41FA"/>
    <w:rsid w:val="470227D4"/>
    <w:rsid w:val="474D62D7"/>
    <w:rsid w:val="475E7FA2"/>
    <w:rsid w:val="477E69B6"/>
    <w:rsid w:val="479F4447"/>
    <w:rsid w:val="47A631A9"/>
    <w:rsid w:val="47AA7873"/>
    <w:rsid w:val="47C2474C"/>
    <w:rsid w:val="47E232B9"/>
    <w:rsid w:val="481064E2"/>
    <w:rsid w:val="482B220F"/>
    <w:rsid w:val="482B3BCD"/>
    <w:rsid w:val="483D67ED"/>
    <w:rsid w:val="484C60DD"/>
    <w:rsid w:val="48575E35"/>
    <w:rsid w:val="48630F7B"/>
    <w:rsid w:val="486354F3"/>
    <w:rsid w:val="48681BC3"/>
    <w:rsid w:val="486A0D6B"/>
    <w:rsid w:val="489C2B99"/>
    <w:rsid w:val="48A02B65"/>
    <w:rsid w:val="48A25C96"/>
    <w:rsid w:val="48A95FA8"/>
    <w:rsid w:val="48B16569"/>
    <w:rsid w:val="48DC6B5F"/>
    <w:rsid w:val="491F232A"/>
    <w:rsid w:val="49322AB3"/>
    <w:rsid w:val="4943508E"/>
    <w:rsid w:val="49673F60"/>
    <w:rsid w:val="498C7F3C"/>
    <w:rsid w:val="49A430FB"/>
    <w:rsid w:val="49DE6239"/>
    <w:rsid w:val="4A0F48B8"/>
    <w:rsid w:val="4A216C5D"/>
    <w:rsid w:val="4A4E328A"/>
    <w:rsid w:val="4A696F95"/>
    <w:rsid w:val="4A79785C"/>
    <w:rsid w:val="4A967883"/>
    <w:rsid w:val="4ADD23C4"/>
    <w:rsid w:val="4AF35677"/>
    <w:rsid w:val="4B163348"/>
    <w:rsid w:val="4B16451B"/>
    <w:rsid w:val="4B384FF9"/>
    <w:rsid w:val="4B834804"/>
    <w:rsid w:val="4B863ABA"/>
    <w:rsid w:val="4B864A6B"/>
    <w:rsid w:val="4B9E289B"/>
    <w:rsid w:val="4BAE4494"/>
    <w:rsid w:val="4BAF5AC9"/>
    <w:rsid w:val="4BF36D38"/>
    <w:rsid w:val="4BF4415A"/>
    <w:rsid w:val="4BFD6926"/>
    <w:rsid w:val="4BFE16DC"/>
    <w:rsid w:val="4C3300C7"/>
    <w:rsid w:val="4C623DDF"/>
    <w:rsid w:val="4C7969FB"/>
    <w:rsid w:val="4C9A3DA9"/>
    <w:rsid w:val="4CE74E7F"/>
    <w:rsid w:val="4CF16C5E"/>
    <w:rsid w:val="4CFA1981"/>
    <w:rsid w:val="4D0F16D3"/>
    <w:rsid w:val="4D1614E6"/>
    <w:rsid w:val="4D1B3B54"/>
    <w:rsid w:val="4D1D3D44"/>
    <w:rsid w:val="4D8917F5"/>
    <w:rsid w:val="4D93467D"/>
    <w:rsid w:val="4DA83A37"/>
    <w:rsid w:val="4DAC1A74"/>
    <w:rsid w:val="4DC6163E"/>
    <w:rsid w:val="4E081BCB"/>
    <w:rsid w:val="4E562FCB"/>
    <w:rsid w:val="4E7F0EBF"/>
    <w:rsid w:val="4EE8137F"/>
    <w:rsid w:val="4F386377"/>
    <w:rsid w:val="4F467B00"/>
    <w:rsid w:val="4F93025C"/>
    <w:rsid w:val="4FA4461A"/>
    <w:rsid w:val="4FC833CF"/>
    <w:rsid w:val="4FCE047B"/>
    <w:rsid w:val="4FE4649E"/>
    <w:rsid w:val="4FFF0B92"/>
    <w:rsid w:val="50026103"/>
    <w:rsid w:val="501E216C"/>
    <w:rsid w:val="50A60F1D"/>
    <w:rsid w:val="50C63B27"/>
    <w:rsid w:val="50CC19E8"/>
    <w:rsid w:val="51081FE7"/>
    <w:rsid w:val="511D1CC8"/>
    <w:rsid w:val="515225F2"/>
    <w:rsid w:val="51556DD6"/>
    <w:rsid w:val="517B00B4"/>
    <w:rsid w:val="518F75EC"/>
    <w:rsid w:val="51C40B5A"/>
    <w:rsid w:val="51F42D7D"/>
    <w:rsid w:val="51F67011"/>
    <w:rsid w:val="51FF1A55"/>
    <w:rsid w:val="520E5C46"/>
    <w:rsid w:val="529F25E7"/>
    <w:rsid w:val="52A447DB"/>
    <w:rsid w:val="52AC708B"/>
    <w:rsid w:val="52BF3528"/>
    <w:rsid w:val="52E00CE4"/>
    <w:rsid w:val="52E224A7"/>
    <w:rsid w:val="534E5318"/>
    <w:rsid w:val="535D7356"/>
    <w:rsid w:val="53773D0D"/>
    <w:rsid w:val="53825F3D"/>
    <w:rsid w:val="53A373D1"/>
    <w:rsid w:val="53A63140"/>
    <w:rsid w:val="53AA6731"/>
    <w:rsid w:val="5404195A"/>
    <w:rsid w:val="54115502"/>
    <w:rsid w:val="54233410"/>
    <w:rsid w:val="54294CFA"/>
    <w:rsid w:val="542E51ED"/>
    <w:rsid w:val="544321BE"/>
    <w:rsid w:val="546475C4"/>
    <w:rsid w:val="54746D41"/>
    <w:rsid w:val="548F0982"/>
    <w:rsid w:val="54B96B2E"/>
    <w:rsid w:val="54C12FFB"/>
    <w:rsid w:val="54CA1DAB"/>
    <w:rsid w:val="54FD38CD"/>
    <w:rsid w:val="55115CD4"/>
    <w:rsid w:val="55161390"/>
    <w:rsid w:val="555873FE"/>
    <w:rsid w:val="55827601"/>
    <w:rsid w:val="55881DEE"/>
    <w:rsid w:val="55D475D5"/>
    <w:rsid w:val="55ED3924"/>
    <w:rsid w:val="55F90BF3"/>
    <w:rsid w:val="560122BE"/>
    <w:rsid w:val="56693911"/>
    <w:rsid w:val="569B6DBD"/>
    <w:rsid w:val="56A70103"/>
    <w:rsid w:val="56BB0C75"/>
    <w:rsid w:val="56BC2E6E"/>
    <w:rsid w:val="56C0339E"/>
    <w:rsid w:val="56CA690B"/>
    <w:rsid w:val="56F81D96"/>
    <w:rsid w:val="570109B9"/>
    <w:rsid w:val="57085B92"/>
    <w:rsid w:val="570E7A3A"/>
    <w:rsid w:val="571C28E4"/>
    <w:rsid w:val="57385B77"/>
    <w:rsid w:val="573F741C"/>
    <w:rsid w:val="575E7E96"/>
    <w:rsid w:val="57920F22"/>
    <w:rsid w:val="57E30A6B"/>
    <w:rsid w:val="58025DEE"/>
    <w:rsid w:val="58113045"/>
    <w:rsid w:val="583F2928"/>
    <w:rsid w:val="587F01FB"/>
    <w:rsid w:val="58892981"/>
    <w:rsid w:val="589C0A8A"/>
    <w:rsid w:val="58A25967"/>
    <w:rsid w:val="58B0526A"/>
    <w:rsid w:val="58E74776"/>
    <w:rsid w:val="58E8040F"/>
    <w:rsid w:val="58EA0466"/>
    <w:rsid w:val="59252B0C"/>
    <w:rsid w:val="595C7679"/>
    <w:rsid w:val="598A4954"/>
    <w:rsid w:val="59AD0226"/>
    <w:rsid w:val="59D8280E"/>
    <w:rsid w:val="59E86F84"/>
    <w:rsid w:val="59F90D25"/>
    <w:rsid w:val="59FA6EE6"/>
    <w:rsid w:val="5A0463BB"/>
    <w:rsid w:val="5A276785"/>
    <w:rsid w:val="5A5C7481"/>
    <w:rsid w:val="5A791B71"/>
    <w:rsid w:val="5A822D91"/>
    <w:rsid w:val="5A914CCD"/>
    <w:rsid w:val="5AA1446A"/>
    <w:rsid w:val="5ABF0204"/>
    <w:rsid w:val="5B0836FA"/>
    <w:rsid w:val="5B206500"/>
    <w:rsid w:val="5B207529"/>
    <w:rsid w:val="5B293D4E"/>
    <w:rsid w:val="5B737168"/>
    <w:rsid w:val="5B7905C7"/>
    <w:rsid w:val="5BA111EF"/>
    <w:rsid w:val="5BB0667C"/>
    <w:rsid w:val="5BB10FD1"/>
    <w:rsid w:val="5BB84D03"/>
    <w:rsid w:val="5BCD1420"/>
    <w:rsid w:val="5BDA62D9"/>
    <w:rsid w:val="5C013A6E"/>
    <w:rsid w:val="5C0B392D"/>
    <w:rsid w:val="5C124E85"/>
    <w:rsid w:val="5C351962"/>
    <w:rsid w:val="5C4D156B"/>
    <w:rsid w:val="5C5B0D16"/>
    <w:rsid w:val="5C8E629B"/>
    <w:rsid w:val="5CAA47E7"/>
    <w:rsid w:val="5CBF210A"/>
    <w:rsid w:val="5CD4623B"/>
    <w:rsid w:val="5CDF10A7"/>
    <w:rsid w:val="5D530A14"/>
    <w:rsid w:val="5D6676A7"/>
    <w:rsid w:val="5D681A24"/>
    <w:rsid w:val="5D853F3F"/>
    <w:rsid w:val="5DAF0A47"/>
    <w:rsid w:val="5DCF0341"/>
    <w:rsid w:val="5DDD3DBA"/>
    <w:rsid w:val="5DE27C47"/>
    <w:rsid w:val="5DEB1E6D"/>
    <w:rsid w:val="5DFE7A45"/>
    <w:rsid w:val="5DFF0DC2"/>
    <w:rsid w:val="5E2240A3"/>
    <w:rsid w:val="5E2C3F19"/>
    <w:rsid w:val="5E3177DC"/>
    <w:rsid w:val="5E444EDA"/>
    <w:rsid w:val="5E5C76CE"/>
    <w:rsid w:val="5E8267BA"/>
    <w:rsid w:val="5E935F78"/>
    <w:rsid w:val="5E9F07F8"/>
    <w:rsid w:val="5ED11029"/>
    <w:rsid w:val="5EED70D3"/>
    <w:rsid w:val="5F0A5AB5"/>
    <w:rsid w:val="5F232221"/>
    <w:rsid w:val="5F24043B"/>
    <w:rsid w:val="5F381407"/>
    <w:rsid w:val="5F452B85"/>
    <w:rsid w:val="5F53668D"/>
    <w:rsid w:val="5F683E85"/>
    <w:rsid w:val="5F797197"/>
    <w:rsid w:val="5F9009F5"/>
    <w:rsid w:val="5FA2183C"/>
    <w:rsid w:val="5FC13E5D"/>
    <w:rsid w:val="5FCD06B8"/>
    <w:rsid w:val="5FD03436"/>
    <w:rsid w:val="600D30B1"/>
    <w:rsid w:val="60166807"/>
    <w:rsid w:val="60517CD8"/>
    <w:rsid w:val="606073DA"/>
    <w:rsid w:val="607917B1"/>
    <w:rsid w:val="607C7AE1"/>
    <w:rsid w:val="60811204"/>
    <w:rsid w:val="60E85AD0"/>
    <w:rsid w:val="61451499"/>
    <w:rsid w:val="614D60E4"/>
    <w:rsid w:val="6171622A"/>
    <w:rsid w:val="61720D26"/>
    <w:rsid w:val="61B849D5"/>
    <w:rsid w:val="61D462C5"/>
    <w:rsid w:val="61F11EBF"/>
    <w:rsid w:val="62066D38"/>
    <w:rsid w:val="622E7FD6"/>
    <w:rsid w:val="624545B4"/>
    <w:rsid w:val="62635536"/>
    <w:rsid w:val="629B01DF"/>
    <w:rsid w:val="62A2049E"/>
    <w:rsid w:val="62BB7040"/>
    <w:rsid w:val="62DC0670"/>
    <w:rsid w:val="62EE7E1B"/>
    <w:rsid w:val="62F265CD"/>
    <w:rsid w:val="63330197"/>
    <w:rsid w:val="633C6F17"/>
    <w:rsid w:val="638814AE"/>
    <w:rsid w:val="63937212"/>
    <w:rsid w:val="63A008B2"/>
    <w:rsid w:val="63AA14B7"/>
    <w:rsid w:val="63AE1B76"/>
    <w:rsid w:val="63B71FC1"/>
    <w:rsid w:val="63B93114"/>
    <w:rsid w:val="63DE32DF"/>
    <w:rsid w:val="6403268B"/>
    <w:rsid w:val="640D57A6"/>
    <w:rsid w:val="64190530"/>
    <w:rsid w:val="64312B65"/>
    <w:rsid w:val="643D1E7B"/>
    <w:rsid w:val="646B63F9"/>
    <w:rsid w:val="64747597"/>
    <w:rsid w:val="64A22407"/>
    <w:rsid w:val="64AA195A"/>
    <w:rsid w:val="64AF2BA2"/>
    <w:rsid w:val="64B061C3"/>
    <w:rsid w:val="64D1067A"/>
    <w:rsid w:val="64D20D9C"/>
    <w:rsid w:val="64D45FAF"/>
    <w:rsid w:val="64E23513"/>
    <w:rsid w:val="65400F01"/>
    <w:rsid w:val="65716020"/>
    <w:rsid w:val="65796D39"/>
    <w:rsid w:val="659F1E07"/>
    <w:rsid w:val="65A57300"/>
    <w:rsid w:val="65AB6531"/>
    <w:rsid w:val="65B52E44"/>
    <w:rsid w:val="65BD6D6B"/>
    <w:rsid w:val="65C070E2"/>
    <w:rsid w:val="660E5C1B"/>
    <w:rsid w:val="66215BF7"/>
    <w:rsid w:val="66391A8C"/>
    <w:rsid w:val="6647671C"/>
    <w:rsid w:val="664D5E7C"/>
    <w:rsid w:val="66540ACB"/>
    <w:rsid w:val="66675FD7"/>
    <w:rsid w:val="66816B7C"/>
    <w:rsid w:val="66893A37"/>
    <w:rsid w:val="66996B8C"/>
    <w:rsid w:val="66BF4786"/>
    <w:rsid w:val="66E81F8E"/>
    <w:rsid w:val="66E83AEC"/>
    <w:rsid w:val="66F004D6"/>
    <w:rsid w:val="66FE1989"/>
    <w:rsid w:val="670107F1"/>
    <w:rsid w:val="67271EC0"/>
    <w:rsid w:val="674A0B40"/>
    <w:rsid w:val="677F66A3"/>
    <w:rsid w:val="67832C41"/>
    <w:rsid w:val="67912D81"/>
    <w:rsid w:val="6799099B"/>
    <w:rsid w:val="67E52CC3"/>
    <w:rsid w:val="681A2C18"/>
    <w:rsid w:val="68290BE5"/>
    <w:rsid w:val="684A78DC"/>
    <w:rsid w:val="685D4493"/>
    <w:rsid w:val="688D30AA"/>
    <w:rsid w:val="6898644C"/>
    <w:rsid w:val="68C33D3F"/>
    <w:rsid w:val="68F355BC"/>
    <w:rsid w:val="68FC0AE7"/>
    <w:rsid w:val="690535D4"/>
    <w:rsid w:val="690D75B4"/>
    <w:rsid w:val="69364DD5"/>
    <w:rsid w:val="694A5B5B"/>
    <w:rsid w:val="69760218"/>
    <w:rsid w:val="69B01984"/>
    <w:rsid w:val="69C427DF"/>
    <w:rsid w:val="69CD3FD9"/>
    <w:rsid w:val="69EE1E1D"/>
    <w:rsid w:val="6A082573"/>
    <w:rsid w:val="6A147429"/>
    <w:rsid w:val="6A2C5D9F"/>
    <w:rsid w:val="6A55351B"/>
    <w:rsid w:val="6A7533D6"/>
    <w:rsid w:val="6A9B5A57"/>
    <w:rsid w:val="6ABA2F73"/>
    <w:rsid w:val="6AC35EA1"/>
    <w:rsid w:val="6ADA7560"/>
    <w:rsid w:val="6AEC206E"/>
    <w:rsid w:val="6B1D7559"/>
    <w:rsid w:val="6B2B44FF"/>
    <w:rsid w:val="6B32272F"/>
    <w:rsid w:val="6B3E20CA"/>
    <w:rsid w:val="6B5C700B"/>
    <w:rsid w:val="6B88150E"/>
    <w:rsid w:val="6BA252F6"/>
    <w:rsid w:val="6BA65B4A"/>
    <w:rsid w:val="6BB67861"/>
    <w:rsid w:val="6BBC0471"/>
    <w:rsid w:val="6BEC48E3"/>
    <w:rsid w:val="6C3431E7"/>
    <w:rsid w:val="6C412D68"/>
    <w:rsid w:val="6C476AE7"/>
    <w:rsid w:val="6C7718BC"/>
    <w:rsid w:val="6C7842B2"/>
    <w:rsid w:val="6C8978FF"/>
    <w:rsid w:val="6C905077"/>
    <w:rsid w:val="6CAE60C0"/>
    <w:rsid w:val="6CB43847"/>
    <w:rsid w:val="6D1027E0"/>
    <w:rsid w:val="6D1944F0"/>
    <w:rsid w:val="6D46749E"/>
    <w:rsid w:val="6D546C5C"/>
    <w:rsid w:val="6D5A30AF"/>
    <w:rsid w:val="6D787F23"/>
    <w:rsid w:val="6D801596"/>
    <w:rsid w:val="6D975FDE"/>
    <w:rsid w:val="6DA90E31"/>
    <w:rsid w:val="6DB068BB"/>
    <w:rsid w:val="6DFD4263"/>
    <w:rsid w:val="6E157E5F"/>
    <w:rsid w:val="6E1F30D0"/>
    <w:rsid w:val="6E394B43"/>
    <w:rsid w:val="6E6F7FE4"/>
    <w:rsid w:val="6E9809C7"/>
    <w:rsid w:val="6EDD5048"/>
    <w:rsid w:val="6F1A4195"/>
    <w:rsid w:val="6F234708"/>
    <w:rsid w:val="6F5A079D"/>
    <w:rsid w:val="6FC57140"/>
    <w:rsid w:val="6FCA6CA9"/>
    <w:rsid w:val="6FE36A9E"/>
    <w:rsid w:val="70436A54"/>
    <w:rsid w:val="70463E93"/>
    <w:rsid w:val="706A46A2"/>
    <w:rsid w:val="706E4636"/>
    <w:rsid w:val="70830A5E"/>
    <w:rsid w:val="70B30221"/>
    <w:rsid w:val="70C8186C"/>
    <w:rsid w:val="70D5009F"/>
    <w:rsid w:val="70F01F49"/>
    <w:rsid w:val="7102248A"/>
    <w:rsid w:val="71391C9C"/>
    <w:rsid w:val="713F09B7"/>
    <w:rsid w:val="715156C7"/>
    <w:rsid w:val="717465AD"/>
    <w:rsid w:val="7175098D"/>
    <w:rsid w:val="7189415A"/>
    <w:rsid w:val="719E29FF"/>
    <w:rsid w:val="719F74FD"/>
    <w:rsid w:val="71B17ED8"/>
    <w:rsid w:val="71E644EB"/>
    <w:rsid w:val="71E933C2"/>
    <w:rsid w:val="72315431"/>
    <w:rsid w:val="72317F9D"/>
    <w:rsid w:val="72324DA7"/>
    <w:rsid w:val="723F5906"/>
    <w:rsid w:val="72497875"/>
    <w:rsid w:val="726321A1"/>
    <w:rsid w:val="726A088C"/>
    <w:rsid w:val="72725878"/>
    <w:rsid w:val="72884513"/>
    <w:rsid w:val="72B71B02"/>
    <w:rsid w:val="72D52BB8"/>
    <w:rsid w:val="72FA1486"/>
    <w:rsid w:val="73065956"/>
    <w:rsid w:val="7308117E"/>
    <w:rsid w:val="73441038"/>
    <w:rsid w:val="73481F52"/>
    <w:rsid w:val="735441C1"/>
    <w:rsid w:val="738E5290"/>
    <w:rsid w:val="7399437F"/>
    <w:rsid w:val="739E6BAE"/>
    <w:rsid w:val="73C61FAF"/>
    <w:rsid w:val="73CA04E9"/>
    <w:rsid w:val="73D70BAE"/>
    <w:rsid w:val="73FD3312"/>
    <w:rsid w:val="741112E2"/>
    <w:rsid w:val="741A2BE9"/>
    <w:rsid w:val="742A17A5"/>
    <w:rsid w:val="742F6F45"/>
    <w:rsid w:val="7452517E"/>
    <w:rsid w:val="746B4082"/>
    <w:rsid w:val="74767452"/>
    <w:rsid w:val="749810BD"/>
    <w:rsid w:val="749D0B0E"/>
    <w:rsid w:val="749E1564"/>
    <w:rsid w:val="74AA59A2"/>
    <w:rsid w:val="74B57968"/>
    <w:rsid w:val="75240123"/>
    <w:rsid w:val="75267B11"/>
    <w:rsid w:val="752C07F5"/>
    <w:rsid w:val="757E6826"/>
    <w:rsid w:val="75886105"/>
    <w:rsid w:val="75977B25"/>
    <w:rsid w:val="759862B2"/>
    <w:rsid w:val="75B11CBA"/>
    <w:rsid w:val="75BA4AC8"/>
    <w:rsid w:val="75C054F9"/>
    <w:rsid w:val="75C678E5"/>
    <w:rsid w:val="75CB0171"/>
    <w:rsid w:val="75D141F3"/>
    <w:rsid w:val="75F42111"/>
    <w:rsid w:val="761811EA"/>
    <w:rsid w:val="76222388"/>
    <w:rsid w:val="76266BAE"/>
    <w:rsid w:val="762E27C2"/>
    <w:rsid w:val="76432BBD"/>
    <w:rsid w:val="765763CF"/>
    <w:rsid w:val="766251D7"/>
    <w:rsid w:val="76627EA4"/>
    <w:rsid w:val="766F0CC3"/>
    <w:rsid w:val="76882A70"/>
    <w:rsid w:val="76A00785"/>
    <w:rsid w:val="76A50589"/>
    <w:rsid w:val="76E33336"/>
    <w:rsid w:val="76FA1560"/>
    <w:rsid w:val="773F06D9"/>
    <w:rsid w:val="77574674"/>
    <w:rsid w:val="775C1B0E"/>
    <w:rsid w:val="777431F1"/>
    <w:rsid w:val="77765DAB"/>
    <w:rsid w:val="77A53F1A"/>
    <w:rsid w:val="77B21E60"/>
    <w:rsid w:val="77BB7D00"/>
    <w:rsid w:val="7809244E"/>
    <w:rsid w:val="782B4327"/>
    <w:rsid w:val="7832278C"/>
    <w:rsid w:val="785B5302"/>
    <w:rsid w:val="786B0BBC"/>
    <w:rsid w:val="788C72DC"/>
    <w:rsid w:val="788D2017"/>
    <w:rsid w:val="78B72739"/>
    <w:rsid w:val="78BC244A"/>
    <w:rsid w:val="78BD51A3"/>
    <w:rsid w:val="78D90C9C"/>
    <w:rsid w:val="78FD02FD"/>
    <w:rsid w:val="79211C05"/>
    <w:rsid w:val="79352E19"/>
    <w:rsid w:val="794B4268"/>
    <w:rsid w:val="795147B4"/>
    <w:rsid w:val="799D0D72"/>
    <w:rsid w:val="799E6ADC"/>
    <w:rsid w:val="79A0079B"/>
    <w:rsid w:val="79AE6E6E"/>
    <w:rsid w:val="79E6045C"/>
    <w:rsid w:val="7A1F7816"/>
    <w:rsid w:val="7A2C7DF0"/>
    <w:rsid w:val="7A2F79F5"/>
    <w:rsid w:val="7A5B37CF"/>
    <w:rsid w:val="7A641FC7"/>
    <w:rsid w:val="7A6F1EE3"/>
    <w:rsid w:val="7A74228E"/>
    <w:rsid w:val="7A7F0CF5"/>
    <w:rsid w:val="7A896BEF"/>
    <w:rsid w:val="7AB35A5A"/>
    <w:rsid w:val="7AB94EB9"/>
    <w:rsid w:val="7AC10006"/>
    <w:rsid w:val="7ADF118F"/>
    <w:rsid w:val="7AEA53FB"/>
    <w:rsid w:val="7B0C676A"/>
    <w:rsid w:val="7B21784C"/>
    <w:rsid w:val="7B573E24"/>
    <w:rsid w:val="7B62490E"/>
    <w:rsid w:val="7B7D3815"/>
    <w:rsid w:val="7B7E0313"/>
    <w:rsid w:val="7B9F2803"/>
    <w:rsid w:val="7BB1433F"/>
    <w:rsid w:val="7BB169DD"/>
    <w:rsid w:val="7BCB6D26"/>
    <w:rsid w:val="7BD84D3F"/>
    <w:rsid w:val="7C1D0697"/>
    <w:rsid w:val="7C220661"/>
    <w:rsid w:val="7C23361B"/>
    <w:rsid w:val="7C5F0B8C"/>
    <w:rsid w:val="7C6D49D9"/>
    <w:rsid w:val="7C9A037A"/>
    <w:rsid w:val="7CA644AE"/>
    <w:rsid w:val="7CB056D8"/>
    <w:rsid w:val="7CB07CDC"/>
    <w:rsid w:val="7CB22A1F"/>
    <w:rsid w:val="7CBE20B3"/>
    <w:rsid w:val="7CC36496"/>
    <w:rsid w:val="7CD57169"/>
    <w:rsid w:val="7CFC478E"/>
    <w:rsid w:val="7D1142C2"/>
    <w:rsid w:val="7D382BEF"/>
    <w:rsid w:val="7D3A263B"/>
    <w:rsid w:val="7D515F9C"/>
    <w:rsid w:val="7D5A3E3E"/>
    <w:rsid w:val="7D6C4A97"/>
    <w:rsid w:val="7D922E74"/>
    <w:rsid w:val="7DAA4869"/>
    <w:rsid w:val="7DC45537"/>
    <w:rsid w:val="7DCC527D"/>
    <w:rsid w:val="7E082B70"/>
    <w:rsid w:val="7E0E4028"/>
    <w:rsid w:val="7E4D04A8"/>
    <w:rsid w:val="7E500988"/>
    <w:rsid w:val="7E53233A"/>
    <w:rsid w:val="7E6F7422"/>
    <w:rsid w:val="7E7D15A1"/>
    <w:rsid w:val="7EA86AF1"/>
    <w:rsid w:val="7ECF6839"/>
    <w:rsid w:val="7EDC17EC"/>
    <w:rsid w:val="7EE66DA7"/>
    <w:rsid w:val="7F0163DE"/>
    <w:rsid w:val="7F0711DD"/>
    <w:rsid w:val="7F0D759F"/>
    <w:rsid w:val="7F29280B"/>
    <w:rsid w:val="7F293EEC"/>
    <w:rsid w:val="7F4E49EA"/>
    <w:rsid w:val="7F4F13EB"/>
    <w:rsid w:val="7F79326D"/>
    <w:rsid w:val="7F7D0C5E"/>
    <w:rsid w:val="7F8D5CE2"/>
    <w:rsid w:val="7F922FB2"/>
    <w:rsid w:val="7FA93897"/>
    <w:rsid w:val="7FE84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仿宋" w:cs="宋体"/>
      <w:kern w:val="2"/>
      <w:sz w:val="28"/>
      <w:szCs w:val="24"/>
      <w:lang w:val="en-US" w:eastAsia="zh-CN" w:bidi="ar-SA"/>
    </w:rPr>
  </w:style>
  <w:style w:type="paragraph" w:styleId="4">
    <w:name w:val="heading 1"/>
    <w:basedOn w:val="1"/>
    <w:next w:val="1"/>
    <w:qFormat/>
    <w:uiPriority w:val="0"/>
    <w:pPr>
      <w:keepNext/>
      <w:keepLines/>
      <w:spacing w:before="260" w:after="260"/>
      <w:ind w:firstLine="0" w:firstLineChars="0"/>
      <w:outlineLvl w:val="0"/>
    </w:pPr>
    <w:rPr>
      <w:rFonts w:eastAsia="宋体"/>
      <w:b/>
      <w:kern w:val="44"/>
      <w:sz w:val="32"/>
    </w:rPr>
  </w:style>
  <w:style w:type="paragraph" w:styleId="5">
    <w:name w:val="heading 2"/>
    <w:basedOn w:val="1"/>
    <w:next w:val="1"/>
    <w:link w:val="34"/>
    <w:unhideWhenUsed/>
    <w:qFormat/>
    <w:uiPriority w:val="9"/>
    <w:pPr>
      <w:keepNext/>
      <w:keepLines/>
      <w:spacing w:before="260" w:after="260"/>
      <w:ind w:firstLine="0" w:firstLineChars="0"/>
      <w:outlineLvl w:val="1"/>
    </w:pPr>
    <w:rPr>
      <w:rFonts w:ascii="Arial" w:hAnsi="Arial" w:eastAsia="楷体"/>
      <w:b/>
      <w:sz w:val="30"/>
    </w:rPr>
  </w:style>
  <w:style w:type="paragraph" w:styleId="6">
    <w:name w:val="heading 3"/>
    <w:basedOn w:val="1"/>
    <w:next w:val="1"/>
    <w:unhideWhenUsed/>
    <w:qFormat/>
    <w:uiPriority w:val="9"/>
    <w:pPr>
      <w:spacing w:before="260" w:after="260"/>
      <w:ind w:firstLine="560"/>
      <w:outlineLvl w:val="2"/>
    </w:pPr>
    <w:rPr>
      <w:rFonts w:ascii="仿宋_GB2312" w:hAnsi="仿宋_GB2312" w:cs="Times New Roman"/>
      <w:b/>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adjustRightInd w:val="0"/>
      <w:snapToGrid w:val="0"/>
    </w:pPr>
    <w:rPr>
      <w:rFonts w:ascii="宋体" w:hAnsi="宋体"/>
      <w:sz w:val="24"/>
    </w:rPr>
  </w:style>
  <w:style w:type="paragraph" w:styleId="3">
    <w:name w:val="Body Text Indent"/>
    <w:basedOn w:val="1"/>
    <w:unhideWhenUsed/>
    <w:qFormat/>
    <w:uiPriority w:val="99"/>
    <w:pPr>
      <w:spacing w:after="120"/>
      <w:ind w:left="420" w:leftChars="200"/>
    </w:pPr>
  </w:style>
  <w:style w:type="paragraph" w:styleId="7">
    <w:name w:val="index 5"/>
    <w:basedOn w:val="1"/>
    <w:next w:val="1"/>
    <w:unhideWhenUsed/>
    <w:qFormat/>
    <w:uiPriority w:val="99"/>
    <w:pPr>
      <w:snapToGrid w:val="0"/>
      <w:ind w:firstLine="640"/>
    </w:pPr>
    <w:rPr>
      <w:rFonts w:ascii="黑体" w:hAnsi="黑体" w:eastAsia="黑体" w:cs="仿宋_GB2312"/>
      <w:bCs/>
      <w:kern w:val="0"/>
      <w:sz w:val="32"/>
      <w:szCs w:val="32"/>
    </w:rPr>
  </w:style>
  <w:style w:type="paragraph" w:styleId="8">
    <w:name w:val="Document Map"/>
    <w:basedOn w:val="1"/>
    <w:link w:val="26"/>
    <w:qFormat/>
    <w:uiPriority w:val="0"/>
    <w:rPr>
      <w:rFonts w:ascii="宋体"/>
      <w:sz w:val="18"/>
      <w:szCs w:val="18"/>
    </w:rPr>
  </w:style>
  <w:style w:type="paragraph" w:styleId="9">
    <w:name w:val="annotation text"/>
    <w:basedOn w:val="1"/>
    <w:link w:val="32"/>
    <w:semiHidden/>
    <w:unhideWhenUsed/>
    <w:qFormat/>
    <w:uiPriority w:val="99"/>
    <w:pPr>
      <w:jc w:val="left"/>
    </w:pPr>
  </w:style>
  <w:style w:type="paragraph" w:styleId="10">
    <w:name w:val="Body Text"/>
    <w:basedOn w:val="1"/>
    <w:qFormat/>
    <w:uiPriority w:val="1"/>
    <w:pPr>
      <w:widowControl/>
      <w:spacing w:after="120" w:line="300" w:lineRule="auto"/>
      <w:ind w:firstLine="561"/>
      <w:jc w:val="left"/>
    </w:pPr>
    <w:rPr>
      <w:szCs w:val="22"/>
    </w:rPr>
  </w:style>
  <w:style w:type="paragraph" w:styleId="11">
    <w:name w:val="toc 3"/>
    <w:basedOn w:val="1"/>
    <w:next w:val="1"/>
    <w:qFormat/>
    <w:uiPriority w:val="39"/>
    <w:pPr>
      <w:ind w:left="1120" w:leftChars="400" w:firstLine="0" w:firstLineChars="0"/>
    </w:pPr>
  </w:style>
  <w:style w:type="paragraph" w:styleId="12">
    <w:name w:val="Balloon Text"/>
    <w:basedOn w:val="1"/>
    <w:link w:val="30"/>
    <w:qFormat/>
    <w:uiPriority w:val="0"/>
    <w:rPr>
      <w:sz w:val="18"/>
      <w:szCs w:val="18"/>
    </w:rPr>
  </w:style>
  <w:style w:type="paragraph" w:styleId="13">
    <w:name w:val="footer"/>
    <w:basedOn w:val="1"/>
    <w:link w:val="28"/>
    <w:qFormat/>
    <w:uiPriority w:val="99"/>
    <w:pPr>
      <w:tabs>
        <w:tab w:val="center" w:pos="4153"/>
        <w:tab w:val="right" w:pos="8306"/>
      </w:tabs>
      <w:snapToGrid w:val="0"/>
      <w:jc w:val="left"/>
    </w:pPr>
    <w:rPr>
      <w:sz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ind w:firstLine="0" w:firstLineChars="0"/>
    </w:pPr>
    <w:rPr>
      <w:rFonts w:eastAsia="宋体"/>
      <w:b/>
    </w:rPr>
  </w:style>
  <w:style w:type="paragraph" w:styleId="16">
    <w:name w:val="toc 2"/>
    <w:basedOn w:val="1"/>
    <w:next w:val="1"/>
    <w:qFormat/>
    <w:uiPriority w:val="39"/>
    <w:pPr>
      <w:ind w:left="560" w:leftChars="200" w:firstLine="0" w:firstLineChars="0"/>
    </w:pPr>
    <w:rPr>
      <w:rFonts w:eastAsia="楷体"/>
      <w:b/>
    </w:rPr>
  </w:style>
  <w:style w:type="paragraph" w:styleId="17">
    <w:name w:val="Normal (Web)"/>
    <w:basedOn w:val="1"/>
    <w:qFormat/>
    <w:uiPriority w:val="99"/>
    <w:pPr>
      <w:spacing w:beforeAutospacing="1" w:afterAutospacing="1"/>
      <w:jc w:val="left"/>
    </w:pPr>
    <w:rPr>
      <w:rFonts w:cs="Times New Roman"/>
      <w:kern w:val="0"/>
      <w:sz w:val="24"/>
    </w:rPr>
  </w:style>
  <w:style w:type="paragraph" w:styleId="18">
    <w:name w:val="annotation subject"/>
    <w:basedOn w:val="9"/>
    <w:next w:val="9"/>
    <w:link w:val="33"/>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2">
    <w:name w:val="Emphasis"/>
    <w:basedOn w:val="21"/>
    <w:qFormat/>
    <w:uiPriority w:val="0"/>
    <w:rPr>
      <w:i/>
      <w:iCs/>
    </w:rPr>
  </w:style>
  <w:style w:type="character" w:styleId="23">
    <w:name w:val="Hyperlink"/>
    <w:basedOn w:val="21"/>
    <w:unhideWhenUsed/>
    <w:qFormat/>
    <w:uiPriority w:val="99"/>
    <w:rPr>
      <w:color w:val="0563C1" w:themeColor="hyperlink"/>
      <w:u w:val="single"/>
    </w:rPr>
  </w:style>
  <w:style w:type="character" w:styleId="24">
    <w:name w:val="annotation reference"/>
    <w:basedOn w:val="21"/>
    <w:qFormat/>
    <w:uiPriority w:val="0"/>
    <w:rPr>
      <w:sz w:val="21"/>
      <w:szCs w:val="21"/>
    </w:rPr>
  </w:style>
  <w:style w:type="paragraph" w:customStyle="1" w:styleId="25">
    <w:name w:val="Default"/>
    <w:next w:val="7"/>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6">
    <w:name w:val="文档结构图 Char"/>
    <w:basedOn w:val="21"/>
    <w:link w:val="8"/>
    <w:qFormat/>
    <w:uiPriority w:val="0"/>
    <w:rPr>
      <w:rFonts w:ascii="宋体" w:hAnsi="Calibri" w:cs="宋体"/>
      <w:kern w:val="2"/>
      <w:sz w:val="18"/>
      <w:szCs w:val="18"/>
    </w:rPr>
  </w:style>
  <w:style w:type="character" w:customStyle="1" w:styleId="27">
    <w:name w:val="页眉 Char"/>
    <w:basedOn w:val="21"/>
    <w:link w:val="14"/>
    <w:qFormat/>
    <w:uiPriority w:val="0"/>
    <w:rPr>
      <w:rFonts w:ascii="Calibri" w:hAnsi="Calibri" w:cs="宋体"/>
      <w:kern w:val="2"/>
      <w:sz w:val="18"/>
      <w:szCs w:val="18"/>
    </w:rPr>
  </w:style>
  <w:style w:type="character" w:customStyle="1" w:styleId="28">
    <w:name w:val="页脚 Char"/>
    <w:basedOn w:val="21"/>
    <w:link w:val="13"/>
    <w:qFormat/>
    <w:uiPriority w:val="99"/>
    <w:rPr>
      <w:rFonts w:ascii="Calibri" w:hAnsi="Calibri" w:cs="宋体"/>
      <w:kern w:val="2"/>
      <w:sz w:val="18"/>
      <w:szCs w:val="24"/>
    </w:rPr>
  </w:style>
  <w:style w:type="paragraph" w:customStyle="1" w:styleId="29">
    <w:name w:val="Body text|1"/>
    <w:basedOn w:val="1"/>
    <w:qFormat/>
    <w:uiPriority w:val="0"/>
    <w:pPr>
      <w:spacing w:line="420" w:lineRule="auto"/>
      <w:ind w:firstLine="400"/>
    </w:pPr>
    <w:rPr>
      <w:rFonts w:ascii="宋体" w:hAnsi="宋体"/>
      <w:sz w:val="30"/>
      <w:szCs w:val="30"/>
      <w:lang w:val="zh-TW" w:eastAsia="zh-TW" w:bidi="zh-TW"/>
    </w:rPr>
  </w:style>
  <w:style w:type="character" w:customStyle="1" w:styleId="30">
    <w:name w:val="批注框文本 Char"/>
    <w:basedOn w:val="21"/>
    <w:link w:val="12"/>
    <w:qFormat/>
    <w:uiPriority w:val="0"/>
    <w:rPr>
      <w:rFonts w:ascii="Calibri" w:hAnsi="Calibri" w:cs="宋体"/>
      <w:kern w:val="2"/>
      <w:sz w:val="18"/>
      <w:szCs w:val="18"/>
    </w:rPr>
  </w:style>
  <w:style w:type="paragraph" w:customStyle="1" w:styleId="31">
    <w:name w:val="报告正文"/>
    <w:basedOn w:val="1"/>
    <w:qFormat/>
    <w:uiPriority w:val="0"/>
    <w:pPr>
      <w:widowControl/>
      <w:adjustRightInd w:val="0"/>
      <w:snapToGrid w:val="0"/>
      <w:ind w:firstLine="200"/>
    </w:pPr>
    <w:rPr>
      <w:kern w:val="0"/>
      <w:szCs w:val="36"/>
    </w:rPr>
  </w:style>
  <w:style w:type="character" w:customStyle="1" w:styleId="32">
    <w:name w:val="批注文字 Char"/>
    <w:basedOn w:val="21"/>
    <w:link w:val="9"/>
    <w:semiHidden/>
    <w:qFormat/>
    <w:uiPriority w:val="99"/>
    <w:rPr>
      <w:rFonts w:ascii="Calibri" w:hAnsi="Calibri" w:cs="宋体"/>
      <w:kern w:val="2"/>
      <w:sz w:val="21"/>
      <w:szCs w:val="24"/>
    </w:rPr>
  </w:style>
  <w:style w:type="character" w:customStyle="1" w:styleId="33">
    <w:name w:val="批注主题 Char"/>
    <w:basedOn w:val="32"/>
    <w:link w:val="18"/>
    <w:qFormat/>
    <w:uiPriority w:val="0"/>
    <w:rPr>
      <w:rFonts w:ascii="Calibri" w:hAnsi="Calibri" w:cs="宋体"/>
      <w:b/>
      <w:bCs/>
      <w:kern w:val="2"/>
      <w:sz w:val="21"/>
      <w:szCs w:val="24"/>
    </w:rPr>
  </w:style>
  <w:style w:type="character" w:customStyle="1" w:styleId="34">
    <w:name w:val="标题 2 Char"/>
    <w:link w:val="5"/>
    <w:qFormat/>
    <w:uiPriority w:val="9"/>
    <w:rPr>
      <w:rFonts w:ascii="Arial" w:hAnsi="Arial" w:eastAsia="楷体"/>
      <w:b/>
      <w:sz w:val="30"/>
    </w:rPr>
  </w:style>
  <w:style w:type="paragraph" w:customStyle="1" w:styleId="35">
    <w:name w:val="封面标题"/>
    <w:basedOn w:val="1"/>
    <w:qFormat/>
    <w:uiPriority w:val="0"/>
    <w:pPr>
      <w:ind w:firstLine="0" w:firstLineChars="0"/>
      <w:jc w:val="center"/>
    </w:pPr>
    <w:rPr>
      <w:rFonts w:cs="Times New Roman"/>
      <w:b/>
      <w:bCs/>
      <w:sz w:val="48"/>
      <w:szCs w:val="56"/>
    </w:rPr>
  </w:style>
  <w:style w:type="paragraph" w:customStyle="1" w:styleId="36">
    <w:name w:val="表头"/>
    <w:basedOn w:val="1"/>
    <w:link w:val="38"/>
    <w:qFormat/>
    <w:uiPriority w:val="0"/>
    <w:pPr>
      <w:spacing w:line="240" w:lineRule="auto"/>
      <w:ind w:firstLine="0" w:firstLineChars="0"/>
      <w:jc w:val="center"/>
    </w:pPr>
    <w:rPr>
      <w:rFonts w:hint="eastAsia" w:ascii="宋体" w:hAnsi="宋体" w:eastAsia="宋体"/>
      <w:b/>
      <w:bCs/>
      <w:sz w:val="21"/>
      <w:szCs w:val="21"/>
      <w:u w:val="single"/>
    </w:rPr>
  </w:style>
  <w:style w:type="paragraph" w:customStyle="1" w:styleId="37">
    <w:name w:val="表格文字"/>
    <w:basedOn w:val="1"/>
    <w:qFormat/>
    <w:uiPriority w:val="0"/>
    <w:pPr>
      <w:spacing w:line="240" w:lineRule="auto"/>
      <w:ind w:firstLine="0" w:firstLineChars="0"/>
      <w:jc w:val="center"/>
    </w:pPr>
    <w:rPr>
      <w:rFonts w:hint="eastAsia" w:ascii="宋体" w:hAnsi="宋体" w:eastAsia="宋体"/>
      <w:sz w:val="21"/>
      <w:szCs w:val="21"/>
    </w:rPr>
  </w:style>
  <w:style w:type="character" w:customStyle="1" w:styleId="38">
    <w:name w:val="表头 Char"/>
    <w:link w:val="36"/>
    <w:qFormat/>
    <w:uiPriority w:val="0"/>
    <w:rPr>
      <w:rFonts w:hint="eastAsia" w:ascii="宋体" w:hAnsi="宋体" w:eastAsia="宋体"/>
      <w:b/>
      <w:bCs/>
      <w:sz w:val="21"/>
      <w:szCs w:val="21"/>
      <w:u w:val="single"/>
    </w:rPr>
  </w:style>
  <w:style w:type="paragraph" w:customStyle="1" w:styleId="39">
    <w:name w:val="正文1"/>
    <w:basedOn w:val="1"/>
    <w:qFormat/>
    <w:uiPriority w:val="0"/>
    <w:pPr>
      <w:ind w:firstLine="560"/>
    </w:pPr>
    <w:rPr>
      <w:color w:val="000000"/>
      <w:kern w:val="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B37B4-D188-487C-96BF-E8A5153CD0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15418</Words>
  <Characters>15754</Characters>
  <Lines>128</Lines>
  <Paragraphs>36</Paragraphs>
  <TotalTime>8</TotalTime>
  <ScaleCrop>false</ScaleCrop>
  <LinksUpToDate>false</LinksUpToDate>
  <CharactersWithSpaces>15799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2020-10-15T10:27:00Z</dcterms:created>
  <dc:creator>畅</dc:creator>
  <cp:lastModifiedBy>邢祥运</cp:lastModifiedBy>
  <cp:lastPrinted>2020-11-27T00:31:00Z</cp:lastPrinted>
  <dcterms:modified xsi:type="dcterms:W3CDTF">2024-06-26T07:40:39Z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E086C608E7D946D28D79A7F65AFFF8C6</vt:lpwstr>
  </property>
</Properties>
</file>