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ind w:firstLine="560"/>
        <w:jc w:val="both"/>
        <w:rPr>
          <w:rFonts w:hint="eastAsia"/>
          <w:szCs w:val="24"/>
        </w:rPr>
      </w:pPr>
      <w:bookmarkStart w:id="0" w:name="_Hlk60045347"/>
      <w:bookmarkStart w:id="1" w:name="_Hlk491880982"/>
      <w:bookmarkStart w:id="109" w:name="_GoBack"/>
      <w:bookmarkEnd w:id="109"/>
    </w:p>
    <w:p>
      <w:pPr>
        <w:pStyle w:val="7"/>
        <w:spacing w:line="360" w:lineRule="auto"/>
        <w:ind w:firstLine="560"/>
        <w:jc w:val="both"/>
        <w:rPr>
          <w:rFonts w:hint="eastAsia"/>
          <w:szCs w:val="24"/>
        </w:rPr>
      </w:pPr>
    </w:p>
    <w:p>
      <w:pPr>
        <w:pStyle w:val="7"/>
        <w:spacing w:line="360" w:lineRule="auto"/>
        <w:ind w:firstLine="560"/>
        <w:jc w:val="both"/>
        <w:rPr>
          <w:rFonts w:hint="eastAsia"/>
          <w:szCs w:val="24"/>
        </w:rPr>
      </w:pPr>
    </w:p>
    <w:p>
      <w:pPr>
        <w:spacing w:before="120" w:after="120" w:line="360" w:lineRule="auto"/>
        <w:jc w:val="center"/>
        <w:rPr>
          <w:rFonts w:ascii="仿宋" w:hAnsi="仿宋" w:eastAsia="仿宋"/>
          <w:b/>
          <w:bCs/>
          <w:sz w:val="48"/>
          <w:szCs w:val="48"/>
        </w:rPr>
      </w:pPr>
      <w:r>
        <w:rPr>
          <w:rFonts w:hint="eastAsia" w:ascii="仿宋" w:hAnsi="仿宋" w:eastAsia="仿宋"/>
          <w:b/>
          <w:bCs/>
          <w:sz w:val="48"/>
          <w:szCs w:val="48"/>
        </w:rPr>
        <w:t>德惠市</w:t>
      </w:r>
      <w:r>
        <w:rPr>
          <w:rFonts w:ascii="仿宋" w:hAnsi="仿宋" w:eastAsia="仿宋"/>
          <w:b/>
          <w:bCs/>
          <w:sz w:val="48"/>
          <w:szCs w:val="48"/>
        </w:rPr>
        <w:t>大气污染防治“十四五”规划</w:t>
      </w:r>
    </w:p>
    <w:bookmarkEnd w:id="0"/>
    <w:p>
      <w:pPr>
        <w:rPr>
          <w:rFonts w:hint="eastAsia"/>
        </w:rPr>
      </w:pPr>
    </w:p>
    <w:p>
      <w:pPr>
        <w:pStyle w:val="35"/>
        <w:adjustRightInd w:val="0"/>
        <w:spacing w:after="156" w:line="360" w:lineRule="auto"/>
        <w:ind w:firstLine="0" w:firstLineChars="0"/>
        <w:jc w:val="center"/>
        <w:rPr>
          <w:rFonts w:ascii="仿宋" w:hAnsi="仿宋" w:eastAsia="仿宋"/>
          <w:b/>
          <w:sz w:val="48"/>
          <w:szCs w:val="28"/>
          <w:lang w:val="en-US"/>
        </w:rPr>
      </w:pPr>
      <w:r>
        <w:rPr>
          <w:rFonts w:hint="eastAsia" w:ascii="仿宋" w:hAnsi="仿宋" w:eastAsia="仿宋"/>
          <w:b/>
          <w:sz w:val="48"/>
          <w:szCs w:val="28"/>
          <w:lang w:val="en-US"/>
        </w:rPr>
        <w:t>（征求意见稿）</w:t>
      </w:r>
    </w:p>
    <w:p>
      <w:pPr>
        <w:pStyle w:val="35"/>
        <w:adjustRightInd w:val="0"/>
        <w:spacing w:after="156" w:line="360" w:lineRule="auto"/>
        <w:ind w:firstLine="964"/>
        <w:jc w:val="center"/>
        <w:rPr>
          <w:rFonts w:ascii="仿宋" w:hAnsi="仿宋" w:eastAsia="仿宋"/>
          <w:b/>
          <w:sz w:val="48"/>
          <w:szCs w:val="28"/>
          <w:lang w:val="en-US"/>
        </w:rPr>
      </w:pPr>
    </w:p>
    <w:p>
      <w:pPr>
        <w:pStyle w:val="35"/>
        <w:adjustRightInd w:val="0"/>
        <w:spacing w:after="156" w:line="360" w:lineRule="auto"/>
        <w:ind w:firstLine="964"/>
        <w:jc w:val="center"/>
        <w:rPr>
          <w:rFonts w:ascii="仿宋" w:hAnsi="仿宋" w:eastAsia="仿宋"/>
          <w:b/>
          <w:sz w:val="48"/>
          <w:szCs w:val="28"/>
        </w:rPr>
      </w:pPr>
    </w:p>
    <w:p>
      <w:pPr>
        <w:pStyle w:val="35"/>
        <w:adjustRightInd w:val="0"/>
        <w:spacing w:after="156" w:line="360" w:lineRule="auto"/>
        <w:ind w:firstLine="720"/>
        <w:jc w:val="center"/>
        <w:rPr>
          <w:rFonts w:ascii="仿宋" w:hAnsi="仿宋" w:eastAsia="仿宋"/>
          <w:sz w:val="36"/>
          <w:szCs w:val="36"/>
        </w:rPr>
      </w:pPr>
    </w:p>
    <w:p>
      <w:pPr>
        <w:pStyle w:val="35"/>
        <w:adjustRightInd w:val="0"/>
        <w:spacing w:after="156" w:line="360" w:lineRule="auto"/>
        <w:ind w:firstLine="720"/>
        <w:jc w:val="center"/>
        <w:rPr>
          <w:rFonts w:ascii="仿宋" w:hAnsi="仿宋" w:eastAsia="仿宋"/>
          <w:sz w:val="36"/>
          <w:szCs w:val="36"/>
        </w:rPr>
      </w:pPr>
    </w:p>
    <w:p>
      <w:pPr>
        <w:pStyle w:val="35"/>
        <w:adjustRightInd w:val="0"/>
        <w:spacing w:after="156" w:line="360" w:lineRule="auto"/>
        <w:ind w:firstLine="720"/>
        <w:jc w:val="center"/>
        <w:rPr>
          <w:rFonts w:hint="eastAsia" w:ascii="仿宋" w:hAnsi="仿宋" w:eastAsia="仿宋"/>
          <w:sz w:val="36"/>
          <w:szCs w:val="36"/>
        </w:rPr>
      </w:pPr>
    </w:p>
    <w:p>
      <w:pPr>
        <w:pStyle w:val="35"/>
        <w:adjustRightInd w:val="0"/>
        <w:spacing w:after="156" w:line="360" w:lineRule="auto"/>
        <w:ind w:firstLine="720"/>
        <w:jc w:val="center"/>
        <w:rPr>
          <w:rFonts w:hint="eastAsia" w:ascii="仿宋" w:hAnsi="仿宋" w:eastAsia="仿宋"/>
          <w:sz w:val="36"/>
          <w:szCs w:val="36"/>
        </w:rPr>
      </w:pPr>
    </w:p>
    <w:p>
      <w:pPr>
        <w:pStyle w:val="35"/>
        <w:adjustRightInd w:val="0"/>
        <w:spacing w:after="156" w:line="360" w:lineRule="auto"/>
        <w:ind w:firstLine="720"/>
        <w:jc w:val="center"/>
        <w:rPr>
          <w:rFonts w:hint="eastAsia" w:ascii="仿宋" w:hAnsi="仿宋" w:eastAsia="仿宋"/>
          <w:sz w:val="36"/>
          <w:szCs w:val="36"/>
        </w:rPr>
      </w:pPr>
    </w:p>
    <w:p>
      <w:pPr>
        <w:pStyle w:val="35"/>
        <w:adjustRightInd w:val="0"/>
        <w:spacing w:after="156" w:line="360" w:lineRule="auto"/>
        <w:ind w:firstLine="720"/>
        <w:jc w:val="center"/>
        <w:rPr>
          <w:rFonts w:ascii="仿宋" w:hAnsi="仿宋" w:eastAsia="仿宋"/>
          <w:sz w:val="36"/>
          <w:szCs w:val="36"/>
        </w:rPr>
      </w:pPr>
    </w:p>
    <w:bookmarkEnd w:id="1"/>
    <w:p>
      <w:pPr>
        <w:pStyle w:val="7"/>
        <w:spacing w:line="360" w:lineRule="auto"/>
        <w:ind w:firstLine="0"/>
        <w:jc w:val="both"/>
        <w:rPr>
          <w:rFonts w:hint="eastAsia"/>
          <w:b/>
          <w:bCs/>
          <w:sz w:val="32"/>
          <w:szCs w:val="40"/>
        </w:rPr>
      </w:pPr>
    </w:p>
    <w:p>
      <w:pPr>
        <w:pStyle w:val="7"/>
        <w:spacing w:line="360" w:lineRule="auto"/>
        <w:ind w:firstLine="0"/>
        <w:jc w:val="both"/>
        <w:rPr>
          <w:b/>
          <w:bCs/>
          <w:sz w:val="32"/>
          <w:szCs w:val="40"/>
        </w:rPr>
      </w:pPr>
    </w:p>
    <w:p>
      <w:pPr>
        <w:pStyle w:val="7"/>
        <w:spacing w:line="360" w:lineRule="auto"/>
        <w:ind w:firstLine="0"/>
        <w:jc w:val="center"/>
        <w:rPr>
          <w:rFonts w:hint="eastAsia"/>
          <w:b/>
          <w:bCs/>
          <w:sz w:val="32"/>
          <w:szCs w:val="40"/>
        </w:rPr>
      </w:pPr>
      <w:r>
        <w:rPr>
          <w:rFonts w:hint="eastAsia"/>
          <w:b/>
          <w:bCs/>
          <w:sz w:val="32"/>
          <w:szCs w:val="40"/>
        </w:rPr>
        <w:t>长春市生态环境局德惠市分局</w:t>
      </w:r>
    </w:p>
    <w:p>
      <w:pPr>
        <w:spacing w:line="360" w:lineRule="auto"/>
        <w:jc w:val="center"/>
        <w:rPr>
          <w:rFonts w:ascii="仿宋" w:hAnsi="仿宋" w:cs="仿宋"/>
          <w:b/>
          <w:bCs/>
          <w:sz w:val="32"/>
          <w:szCs w:val="40"/>
        </w:rPr>
        <w:sectPr>
          <w:footerReference r:id="rId3" w:type="default"/>
          <w:pgSz w:w="11906" w:h="16838"/>
          <w:pgMar w:top="1440" w:right="1800" w:bottom="1440" w:left="1800" w:header="851" w:footer="992" w:gutter="0"/>
          <w:pgNumType w:fmt="upperRoman" w:start="1"/>
          <w:cols w:space="425" w:num="1"/>
          <w:docGrid w:type="lines" w:linePitch="312" w:charSpace="0"/>
        </w:sectPr>
      </w:pPr>
      <w:r>
        <w:rPr>
          <w:rFonts w:hint="eastAsia" w:ascii="仿宋" w:hAnsi="仿宋" w:cs="仿宋"/>
          <w:b/>
          <w:bCs/>
          <w:sz w:val="32"/>
          <w:szCs w:val="40"/>
        </w:rPr>
        <w:t>2022年9月</w:t>
      </w:r>
    </w:p>
    <w:p>
      <w:pPr>
        <w:spacing w:line="360" w:lineRule="auto"/>
        <w:jc w:val="center"/>
        <w:rPr>
          <w:rFonts w:ascii="仿宋" w:hAnsi="仿宋" w:eastAsia="仿宋" w:cs="宋体"/>
          <w:b/>
          <w:bCs/>
          <w:sz w:val="32"/>
          <w:szCs w:val="32"/>
        </w:rPr>
      </w:pPr>
    </w:p>
    <w:p>
      <w:pPr>
        <w:spacing w:line="360" w:lineRule="auto"/>
        <w:jc w:val="center"/>
        <w:rPr>
          <w:rFonts w:ascii="仿宋" w:hAnsi="仿宋" w:eastAsia="仿宋" w:cs="宋体"/>
          <w:b/>
          <w:bCs/>
          <w:sz w:val="32"/>
          <w:szCs w:val="32"/>
        </w:rPr>
      </w:pPr>
    </w:p>
    <w:p>
      <w:pPr>
        <w:spacing w:line="360" w:lineRule="auto"/>
        <w:jc w:val="center"/>
        <w:rPr>
          <w:rFonts w:ascii="仿宋" w:hAnsi="仿宋" w:eastAsia="仿宋" w:cs="宋体"/>
          <w:b/>
          <w:bCs/>
          <w:sz w:val="32"/>
          <w:szCs w:val="32"/>
        </w:rPr>
      </w:pPr>
    </w:p>
    <w:p>
      <w:pPr>
        <w:spacing w:line="360" w:lineRule="auto"/>
        <w:jc w:val="center"/>
        <w:rPr>
          <w:rFonts w:ascii="仿宋" w:hAnsi="仿宋" w:eastAsia="仿宋" w:cs="宋体"/>
          <w:b/>
          <w:bCs/>
          <w:sz w:val="32"/>
          <w:szCs w:val="32"/>
        </w:rPr>
      </w:pPr>
      <w:r>
        <w:rPr>
          <w:rFonts w:hint="eastAsia" w:ascii="仿宋" w:hAnsi="仿宋" w:eastAsia="仿宋" w:cs="宋体"/>
          <w:b/>
          <w:bCs/>
          <w:sz w:val="32"/>
          <w:szCs w:val="32"/>
        </w:rPr>
        <w:t>目  录</w:t>
      </w:r>
    </w:p>
    <w:p>
      <w:pPr>
        <w:pStyle w:val="13"/>
        <w:tabs>
          <w:tab w:val="right" w:leader="dot" w:pos="8306"/>
        </w:tabs>
        <w:spacing w:line="360" w:lineRule="auto"/>
        <w:rPr>
          <w:sz w:val="28"/>
          <w:szCs w:val="36"/>
        </w:rPr>
      </w:pPr>
      <w:r>
        <w:rPr>
          <w:rFonts w:ascii="仿宋" w:hAnsi="仿宋" w:eastAsia="仿宋" w:cs="宋体"/>
          <w:sz w:val="40"/>
          <w:szCs w:val="40"/>
        </w:rPr>
        <w:fldChar w:fldCharType="begin"/>
      </w:r>
      <w:r>
        <w:rPr>
          <w:rFonts w:ascii="仿宋" w:hAnsi="仿宋" w:eastAsia="仿宋" w:cs="宋体"/>
          <w:sz w:val="40"/>
          <w:szCs w:val="40"/>
        </w:rPr>
        <w:instrText xml:space="preserve"> </w:instrText>
      </w:r>
      <w:r>
        <w:rPr>
          <w:rFonts w:hint="eastAsia" w:ascii="仿宋" w:hAnsi="仿宋" w:eastAsia="仿宋" w:cs="宋体"/>
          <w:sz w:val="40"/>
          <w:szCs w:val="40"/>
        </w:rPr>
        <w:instrText xml:space="preserve">TOC \o "1-3" \h \z \u</w:instrText>
      </w:r>
      <w:r>
        <w:rPr>
          <w:rFonts w:ascii="仿宋" w:hAnsi="仿宋" w:eastAsia="仿宋" w:cs="宋体"/>
          <w:sz w:val="40"/>
          <w:szCs w:val="40"/>
        </w:rPr>
        <w:instrText xml:space="preserve"> </w:instrText>
      </w:r>
      <w:r>
        <w:rPr>
          <w:rFonts w:ascii="仿宋" w:hAnsi="仿宋" w:eastAsia="仿宋" w:cs="宋体"/>
          <w:sz w:val="40"/>
          <w:szCs w:val="40"/>
        </w:rPr>
        <w:fldChar w:fldCharType="separate"/>
      </w:r>
      <w:r>
        <w:fldChar w:fldCharType="begin"/>
      </w:r>
      <w:r>
        <w:instrText xml:space="preserve"> HYPERLINK \l "_Toc379" </w:instrText>
      </w:r>
      <w:r>
        <w:fldChar w:fldCharType="separate"/>
      </w:r>
      <w:r>
        <w:rPr>
          <w:rFonts w:hint="eastAsia" w:ascii="仿宋" w:hAnsi="仿宋" w:eastAsia="仿宋" w:cs="宋体"/>
          <w:sz w:val="28"/>
          <w:szCs w:val="36"/>
        </w:rPr>
        <w:t>前  言</w:t>
      </w:r>
      <w:r>
        <w:rPr>
          <w:sz w:val="28"/>
          <w:szCs w:val="36"/>
        </w:rPr>
        <w:tab/>
      </w:r>
      <w:r>
        <w:rPr>
          <w:sz w:val="28"/>
          <w:szCs w:val="36"/>
        </w:rPr>
        <w:fldChar w:fldCharType="begin"/>
      </w:r>
      <w:r>
        <w:rPr>
          <w:sz w:val="28"/>
          <w:szCs w:val="36"/>
        </w:rPr>
        <w:instrText xml:space="preserve"> PAGEREF _Toc379 \h </w:instrText>
      </w:r>
      <w:r>
        <w:rPr>
          <w:sz w:val="28"/>
          <w:szCs w:val="36"/>
        </w:rPr>
        <w:fldChar w:fldCharType="separate"/>
      </w:r>
      <w:r>
        <w:rPr>
          <w:sz w:val="28"/>
          <w:szCs w:val="36"/>
        </w:rPr>
        <w:t>1</w:t>
      </w:r>
      <w:r>
        <w:rPr>
          <w:sz w:val="28"/>
          <w:szCs w:val="36"/>
        </w:rPr>
        <w:fldChar w:fldCharType="end"/>
      </w:r>
      <w:r>
        <w:rPr>
          <w:sz w:val="28"/>
          <w:szCs w:val="36"/>
        </w:rPr>
        <w:fldChar w:fldCharType="end"/>
      </w:r>
    </w:p>
    <w:p>
      <w:pPr>
        <w:pStyle w:val="13"/>
        <w:tabs>
          <w:tab w:val="right" w:leader="dot" w:pos="8306"/>
        </w:tabs>
        <w:spacing w:line="360" w:lineRule="auto"/>
        <w:rPr>
          <w:sz w:val="28"/>
          <w:szCs w:val="36"/>
        </w:rPr>
      </w:pPr>
      <w:r>
        <w:fldChar w:fldCharType="begin"/>
      </w:r>
      <w:r>
        <w:instrText xml:space="preserve"> HYPERLINK \l "_Toc29625" </w:instrText>
      </w:r>
      <w:r>
        <w:fldChar w:fldCharType="separate"/>
      </w:r>
      <w:r>
        <w:rPr>
          <w:rFonts w:hint="eastAsia" w:ascii="仿宋" w:hAnsi="仿宋" w:eastAsia="仿宋"/>
          <w:sz w:val="28"/>
          <w:szCs w:val="36"/>
        </w:rPr>
        <w:t>一、形势与挑战</w:t>
      </w:r>
      <w:r>
        <w:rPr>
          <w:sz w:val="28"/>
          <w:szCs w:val="36"/>
        </w:rPr>
        <w:tab/>
      </w:r>
      <w:r>
        <w:rPr>
          <w:sz w:val="28"/>
          <w:szCs w:val="36"/>
        </w:rPr>
        <w:fldChar w:fldCharType="begin"/>
      </w:r>
      <w:r>
        <w:rPr>
          <w:sz w:val="28"/>
          <w:szCs w:val="36"/>
        </w:rPr>
        <w:instrText xml:space="preserve"> PAGEREF _Toc29625 \h </w:instrText>
      </w:r>
      <w:r>
        <w:rPr>
          <w:sz w:val="28"/>
          <w:szCs w:val="36"/>
        </w:rPr>
        <w:fldChar w:fldCharType="separate"/>
      </w:r>
      <w:r>
        <w:rPr>
          <w:sz w:val="28"/>
          <w:szCs w:val="36"/>
        </w:rPr>
        <w:t>2</w:t>
      </w:r>
      <w:r>
        <w:rPr>
          <w:sz w:val="28"/>
          <w:szCs w:val="36"/>
        </w:rPr>
        <w:fldChar w:fldCharType="end"/>
      </w:r>
      <w:r>
        <w:rPr>
          <w:sz w:val="28"/>
          <w:szCs w:val="36"/>
        </w:rPr>
        <w:fldChar w:fldCharType="end"/>
      </w:r>
    </w:p>
    <w:p>
      <w:pPr>
        <w:pStyle w:val="14"/>
        <w:tabs>
          <w:tab w:val="right" w:leader="dot" w:pos="8306"/>
        </w:tabs>
        <w:spacing w:line="360" w:lineRule="auto"/>
        <w:rPr>
          <w:sz w:val="28"/>
          <w:szCs w:val="36"/>
        </w:rPr>
      </w:pPr>
      <w:r>
        <w:fldChar w:fldCharType="begin"/>
      </w:r>
      <w:r>
        <w:instrText xml:space="preserve"> HYPERLINK \l "_Toc3465" </w:instrText>
      </w:r>
      <w:r>
        <w:fldChar w:fldCharType="separate"/>
      </w:r>
      <w:r>
        <w:rPr>
          <w:rFonts w:hint="eastAsia" w:ascii="仿宋" w:hAnsi="仿宋" w:eastAsia="仿宋"/>
          <w:sz w:val="28"/>
          <w:szCs w:val="36"/>
        </w:rPr>
        <w:t>（一）“十三五”期间大气污染防治取得成效</w:t>
      </w:r>
      <w:r>
        <w:rPr>
          <w:sz w:val="28"/>
          <w:szCs w:val="36"/>
        </w:rPr>
        <w:tab/>
      </w:r>
      <w:r>
        <w:rPr>
          <w:sz w:val="28"/>
          <w:szCs w:val="36"/>
        </w:rPr>
        <w:fldChar w:fldCharType="begin"/>
      </w:r>
      <w:r>
        <w:rPr>
          <w:sz w:val="28"/>
          <w:szCs w:val="36"/>
        </w:rPr>
        <w:instrText xml:space="preserve"> PAGEREF _Toc3465 \h </w:instrText>
      </w:r>
      <w:r>
        <w:rPr>
          <w:sz w:val="28"/>
          <w:szCs w:val="36"/>
        </w:rPr>
        <w:fldChar w:fldCharType="separate"/>
      </w:r>
      <w:r>
        <w:rPr>
          <w:sz w:val="28"/>
          <w:szCs w:val="36"/>
        </w:rPr>
        <w:t>2</w:t>
      </w:r>
      <w:r>
        <w:rPr>
          <w:sz w:val="28"/>
          <w:szCs w:val="36"/>
        </w:rPr>
        <w:fldChar w:fldCharType="end"/>
      </w:r>
      <w:r>
        <w:rPr>
          <w:sz w:val="28"/>
          <w:szCs w:val="36"/>
        </w:rPr>
        <w:fldChar w:fldCharType="end"/>
      </w:r>
    </w:p>
    <w:p>
      <w:pPr>
        <w:pStyle w:val="14"/>
        <w:tabs>
          <w:tab w:val="right" w:leader="dot" w:pos="8306"/>
        </w:tabs>
        <w:spacing w:line="360" w:lineRule="auto"/>
        <w:rPr>
          <w:sz w:val="28"/>
          <w:szCs w:val="36"/>
        </w:rPr>
      </w:pPr>
      <w:r>
        <w:fldChar w:fldCharType="begin"/>
      </w:r>
      <w:r>
        <w:instrText xml:space="preserve"> HYPERLINK \l "_Toc8230" </w:instrText>
      </w:r>
      <w:r>
        <w:fldChar w:fldCharType="separate"/>
      </w:r>
      <w:r>
        <w:rPr>
          <w:rFonts w:hint="eastAsia" w:ascii="仿宋" w:hAnsi="仿宋" w:eastAsia="仿宋"/>
          <w:sz w:val="28"/>
          <w:szCs w:val="36"/>
        </w:rPr>
        <w:t>（二）大气污染防治形势及存在的问题</w:t>
      </w:r>
      <w:r>
        <w:rPr>
          <w:sz w:val="28"/>
          <w:szCs w:val="36"/>
        </w:rPr>
        <w:tab/>
      </w:r>
      <w:r>
        <w:rPr>
          <w:sz w:val="28"/>
          <w:szCs w:val="36"/>
        </w:rPr>
        <w:fldChar w:fldCharType="begin"/>
      </w:r>
      <w:r>
        <w:rPr>
          <w:sz w:val="28"/>
          <w:szCs w:val="36"/>
        </w:rPr>
        <w:instrText xml:space="preserve"> PAGEREF _Toc8230 \h </w:instrText>
      </w:r>
      <w:r>
        <w:rPr>
          <w:sz w:val="28"/>
          <w:szCs w:val="36"/>
        </w:rPr>
        <w:fldChar w:fldCharType="separate"/>
      </w:r>
      <w:r>
        <w:rPr>
          <w:sz w:val="28"/>
          <w:szCs w:val="36"/>
        </w:rPr>
        <w:t>6</w:t>
      </w:r>
      <w:r>
        <w:rPr>
          <w:sz w:val="28"/>
          <w:szCs w:val="36"/>
        </w:rPr>
        <w:fldChar w:fldCharType="end"/>
      </w:r>
      <w:r>
        <w:rPr>
          <w:sz w:val="28"/>
          <w:szCs w:val="36"/>
        </w:rPr>
        <w:fldChar w:fldCharType="end"/>
      </w:r>
    </w:p>
    <w:p>
      <w:pPr>
        <w:pStyle w:val="13"/>
        <w:tabs>
          <w:tab w:val="right" w:leader="dot" w:pos="8306"/>
        </w:tabs>
        <w:spacing w:line="360" w:lineRule="auto"/>
        <w:rPr>
          <w:sz w:val="28"/>
          <w:szCs w:val="36"/>
        </w:rPr>
      </w:pPr>
      <w:r>
        <w:fldChar w:fldCharType="begin"/>
      </w:r>
      <w:r>
        <w:instrText xml:space="preserve"> HYPERLINK \l "_Toc9988" </w:instrText>
      </w:r>
      <w:r>
        <w:fldChar w:fldCharType="separate"/>
      </w:r>
      <w:r>
        <w:rPr>
          <w:rFonts w:hint="eastAsia" w:ascii="仿宋" w:hAnsi="仿宋" w:eastAsia="仿宋"/>
          <w:sz w:val="28"/>
          <w:szCs w:val="36"/>
        </w:rPr>
        <w:t>二、总体要求</w:t>
      </w:r>
      <w:r>
        <w:rPr>
          <w:sz w:val="28"/>
          <w:szCs w:val="36"/>
        </w:rPr>
        <w:tab/>
      </w:r>
      <w:r>
        <w:rPr>
          <w:sz w:val="28"/>
          <w:szCs w:val="36"/>
        </w:rPr>
        <w:fldChar w:fldCharType="begin"/>
      </w:r>
      <w:r>
        <w:rPr>
          <w:sz w:val="28"/>
          <w:szCs w:val="36"/>
        </w:rPr>
        <w:instrText xml:space="preserve"> PAGEREF _Toc9988 \h </w:instrText>
      </w:r>
      <w:r>
        <w:rPr>
          <w:sz w:val="28"/>
          <w:szCs w:val="36"/>
        </w:rPr>
        <w:fldChar w:fldCharType="separate"/>
      </w:r>
      <w:r>
        <w:rPr>
          <w:sz w:val="28"/>
          <w:szCs w:val="36"/>
        </w:rPr>
        <w:t>8</w:t>
      </w:r>
      <w:r>
        <w:rPr>
          <w:sz w:val="28"/>
          <w:szCs w:val="36"/>
        </w:rPr>
        <w:fldChar w:fldCharType="end"/>
      </w:r>
      <w:r>
        <w:rPr>
          <w:sz w:val="28"/>
          <w:szCs w:val="36"/>
        </w:rPr>
        <w:fldChar w:fldCharType="end"/>
      </w:r>
    </w:p>
    <w:p>
      <w:pPr>
        <w:pStyle w:val="14"/>
        <w:tabs>
          <w:tab w:val="right" w:leader="dot" w:pos="8306"/>
        </w:tabs>
        <w:spacing w:line="360" w:lineRule="auto"/>
        <w:rPr>
          <w:sz w:val="28"/>
          <w:szCs w:val="36"/>
        </w:rPr>
      </w:pPr>
      <w:r>
        <w:fldChar w:fldCharType="begin"/>
      </w:r>
      <w:r>
        <w:instrText xml:space="preserve"> HYPERLINK \l "_Toc23840" </w:instrText>
      </w:r>
      <w:r>
        <w:fldChar w:fldCharType="separate"/>
      </w:r>
      <w:r>
        <w:rPr>
          <w:rFonts w:hint="eastAsia" w:ascii="仿宋" w:hAnsi="仿宋" w:eastAsia="仿宋"/>
          <w:sz w:val="28"/>
          <w:szCs w:val="36"/>
        </w:rPr>
        <w:t>（一）规划范围</w:t>
      </w:r>
      <w:r>
        <w:rPr>
          <w:sz w:val="28"/>
          <w:szCs w:val="36"/>
        </w:rPr>
        <w:tab/>
      </w:r>
      <w:r>
        <w:rPr>
          <w:sz w:val="28"/>
          <w:szCs w:val="36"/>
        </w:rPr>
        <w:fldChar w:fldCharType="begin"/>
      </w:r>
      <w:r>
        <w:rPr>
          <w:sz w:val="28"/>
          <w:szCs w:val="36"/>
        </w:rPr>
        <w:instrText xml:space="preserve"> PAGEREF _Toc23840 \h </w:instrText>
      </w:r>
      <w:r>
        <w:rPr>
          <w:sz w:val="28"/>
          <w:szCs w:val="36"/>
        </w:rPr>
        <w:fldChar w:fldCharType="separate"/>
      </w:r>
      <w:r>
        <w:rPr>
          <w:sz w:val="28"/>
          <w:szCs w:val="36"/>
        </w:rPr>
        <w:t>8</w:t>
      </w:r>
      <w:r>
        <w:rPr>
          <w:sz w:val="28"/>
          <w:szCs w:val="36"/>
        </w:rPr>
        <w:fldChar w:fldCharType="end"/>
      </w:r>
      <w:r>
        <w:rPr>
          <w:sz w:val="28"/>
          <w:szCs w:val="36"/>
        </w:rPr>
        <w:fldChar w:fldCharType="end"/>
      </w:r>
    </w:p>
    <w:p>
      <w:pPr>
        <w:pStyle w:val="14"/>
        <w:tabs>
          <w:tab w:val="right" w:leader="dot" w:pos="8306"/>
        </w:tabs>
        <w:spacing w:line="360" w:lineRule="auto"/>
        <w:rPr>
          <w:sz w:val="28"/>
          <w:szCs w:val="36"/>
        </w:rPr>
      </w:pPr>
      <w:r>
        <w:fldChar w:fldCharType="begin"/>
      </w:r>
      <w:r>
        <w:instrText xml:space="preserve"> HYPERLINK \l "_Toc17277" </w:instrText>
      </w:r>
      <w:r>
        <w:fldChar w:fldCharType="separate"/>
      </w:r>
      <w:r>
        <w:rPr>
          <w:rFonts w:hint="eastAsia" w:ascii="仿宋" w:hAnsi="仿宋" w:eastAsia="仿宋"/>
          <w:sz w:val="28"/>
          <w:szCs w:val="36"/>
        </w:rPr>
        <w:t>（二）规划依据</w:t>
      </w:r>
      <w:r>
        <w:rPr>
          <w:sz w:val="28"/>
          <w:szCs w:val="36"/>
        </w:rPr>
        <w:tab/>
      </w:r>
      <w:r>
        <w:rPr>
          <w:sz w:val="28"/>
          <w:szCs w:val="36"/>
        </w:rPr>
        <w:fldChar w:fldCharType="begin"/>
      </w:r>
      <w:r>
        <w:rPr>
          <w:sz w:val="28"/>
          <w:szCs w:val="36"/>
        </w:rPr>
        <w:instrText xml:space="preserve"> PAGEREF _Toc17277 \h </w:instrText>
      </w:r>
      <w:r>
        <w:rPr>
          <w:sz w:val="28"/>
          <w:szCs w:val="36"/>
        </w:rPr>
        <w:fldChar w:fldCharType="separate"/>
      </w:r>
      <w:r>
        <w:rPr>
          <w:sz w:val="28"/>
          <w:szCs w:val="36"/>
        </w:rPr>
        <w:t>8</w:t>
      </w:r>
      <w:r>
        <w:rPr>
          <w:sz w:val="28"/>
          <w:szCs w:val="36"/>
        </w:rPr>
        <w:fldChar w:fldCharType="end"/>
      </w:r>
      <w:r>
        <w:rPr>
          <w:sz w:val="28"/>
          <w:szCs w:val="36"/>
        </w:rPr>
        <w:fldChar w:fldCharType="end"/>
      </w:r>
    </w:p>
    <w:p>
      <w:pPr>
        <w:pStyle w:val="14"/>
        <w:tabs>
          <w:tab w:val="right" w:leader="dot" w:pos="8306"/>
        </w:tabs>
        <w:spacing w:line="360" w:lineRule="auto"/>
        <w:rPr>
          <w:sz w:val="28"/>
          <w:szCs w:val="36"/>
        </w:rPr>
      </w:pPr>
      <w:r>
        <w:fldChar w:fldCharType="begin"/>
      </w:r>
      <w:r>
        <w:instrText xml:space="preserve"> HYPERLINK \l "_Toc5892" </w:instrText>
      </w:r>
      <w:r>
        <w:fldChar w:fldCharType="separate"/>
      </w:r>
      <w:r>
        <w:rPr>
          <w:rFonts w:hint="eastAsia" w:ascii="仿宋" w:hAnsi="仿宋" w:eastAsia="仿宋"/>
          <w:sz w:val="28"/>
          <w:szCs w:val="36"/>
        </w:rPr>
        <w:t>（三）指导思想</w:t>
      </w:r>
      <w:r>
        <w:rPr>
          <w:sz w:val="28"/>
          <w:szCs w:val="36"/>
        </w:rPr>
        <w:tab/>
      </w:r>
      <w:r>
        <w:rPr>
          <w:sz w:val="28"/>
          <w:szCs w:val="36"/>
        </w:rPr>
        <w:fldChar w:fldCharType="begin"/>
      </w:r>
      <w:r>
        <w:rPr>
          <w:sz w:val="28"/>
          <w:szCs w:val="36"/>
        </w:rPr>
        <w:instrText xml:space="preserve"> PAGEREF _Toc5892 \h </w:instrText>
      </w:r>
      <w:r>
        <w:rPr>
          <w:sz w:val="28"/>
          <w:szCs w:val="36"/>
        </w:rPr>
        <w:fldChar w:fldCharType="separate"/>
      </w:r>
      <w:r>
        <w:rPr>
          <w:sz w:val="28"/>
          <w:szCs w:val="36"/>
        </w:rPr>
        <w:t>9</w:t>
      </w:r>
      <w:r>
        <w:rPr>
          <w:sz w:val="28"/>
          <w:szCs w:val="36"/>
        </w:rPr>
        <w:fldChar w:fldCharType="end"/>
      </w:r>
      <w:r>
        <w:rPr>
          <w:sz w:val="28"/>
          <w:szCs w:val="36"/>
        </w:rPr>
        <w:fldChar w:fldCharType="end"/>
      </w:r>
    </w:p>
    <w:p>
      <w:pPr>
        <w:pStyle w:val="14"/>
        <w:tabs>
          <w:tab w:val="right" w:leader="dot" w:pos="8306"/>
        </w:tabs>
        <w:spacing w:line="360" w:lineRule="auto"/>
        <w:rPr>
          <w:sz w:val="28"/>
          <w:szCs w:val="36"/>
        </w:rPr>
      </w:pPr>
      <w:r>
        <w:fldChar w:fldCharType="begin"/>
      </w:r>
      <w:r>
        <w:instrText xml:space="preserve"> HYPERLINK \l "_Toc26243" </w:instrText>
      </w:r>
      <w:r>
        <w:fldChar w:fldCharType="separate"/>
      </w:r>
      <w:r>
        <w:rPr>
          <w:rFonts w:hint="eastAsia" w:ascii="仿宋" w:hAnsi="仿宋" w:eastAsia="仿宋"/>
          <w:sz w:val="28"/>
          <w:szCs w:val="36"/>
        </w:rPr>
        <w:t>（四）总体目标</w:t>
      </w:r>
      <w:r>
        <w:rPr>
          <w:sz w:val="28"/>
          <w:szCs w:val="36"/>
        </w:rPr>
        <w:tab/>
      </w:r>
      <w:r>
        <w:rPr>
          <w:sz w:val="28"/>
          <w:szCs w:val="36"/>
        </w:rPr>
        <w:fldChar w:fldCharType="begin"/>
      </w:r>
      <w:r>
        <w:rPr>
          <w:sz w:val="28"/>
          <w:szCs w:val="36"/>
        </w:rPr>
        <w:instrText xml:space="preserve"> PAGEREF _Toc26243 \h </w:instrText>
      </w:r>
      <w:r>
        <w:rPr>
          <w:sz w:val="28"/>
          <w:szCs w:val="36"/>
        </w:rPr>
        <w:fldChar w:fldCharType="separate"/>
      </w:r>
      <w:r>
        <w:rPr>
          <w:sz w:val="28"/>
          <w:szCs w:val="36"/>
        </w:rPr>
        <w:t>10</w:t>
      </w:r>
      <w:r>
        <w:rPr>
          <w:sz w:val="28"/>
          <w:szCs w:val="36"/>
        </w:rPr>
        <w:fldChar w:fldCharType="end"/>
      </w:r>
      <w:r>
        <w:rPr>
          <w:sz w:val="28"/>
          <w:szCs w:val="36"/>
        </w:rPr>
        <w:fldChar w:fldCharType="end"/>
      </w:r>
    </w:p>
    <w:p>
      <w:pPr>
        <w:pStyle w:val="13"/>
        <w:tabs>
          <w:tab w:val="right" w:leader="dot" w:pos="8306"/>
        </w:tabs>
        <w:spacing w:line="360" w:lineRule="auto"/>
        <w:rPr>
          <w:sz w:val="28"/>
          <w:szCs w:val="36"/>
        </w:rPr>
      </w:pPr>
      <w:r>
        <w:fldChar w:fldCharType="begin"/>
      </w:r>
      <w:r>
        <w:instrText xml:space="preserve"> HYPERLINK \l "_Toc16379" </w:instrText>
      </w:r>
      <w:r>
        <w:fldChar w:fldCharType="separate"/>
      </w:r>
      <w:r>
        <w:rPr>
          <w:rFonts w:hint="eastAsia" w:ascii="仿宋" w:hAnsi="仿宋" w:eastAsia="仿宋"/>
          <w:sz w:val="28"/>
          <w:szCs w:val="36"/>
        </w:rPr>
        <w:t>三、规划任务要求</w:t>
      </w:r>
      <w:r>
        <w:rPr>
          <w:sz w:val="28"/>
          <w:szCs w:val="36"/>
        </w:rPr>
        <w:tab/>
      </w:r>
      <w:r>
        <w:rPr>
          <w:sz w:val="28"/>
          <w:szCs w:val="36"/>
        </w:rPr>
        <w:fldChar w:fldCharType="begin"/>
      </w:r>
      <w:r>
        <w:rPr>
          <w:sz w:val="28"/>
          <w:szCs w:val="36"/>
        </w:rPr>
        <w:instrText xml:space="preserve"> PAGEREF _Toc16379 \h </w:instrText>
      </w:r>
      <w:r>
        <w:rPr>
          <w:sz w:val="28"/>
          <w:szCs w:val="36"/>
        </w:rPr>
        <w:fldChar w:fldCharType="separate"/>
      </w:r>
      <w:r>
        <w:rPr>
          <w:sz w:val="28"/>
          <w:szCs w:val="36"/>
        </w:rPr>
        <w:t>11</w:t>
      </w:r>
      <w:r>
        <w:rPr>
          <w:sz w:val="28"/>
          <w:szCs w:val="36"/>
        </w:rPr>
        <w:fldChar w:fldCharType="end"/>
      </w:r>
      <w:r>
        <w:rPr>
          <w:sz w:val="28"/>
          <w:szCs w:val="36"/>
        </w:rPr>
        <w:fldChar w:fldCharType="end"/>
      </w:r>
    </w:p>
    <w:p>
      <w:pPr>
        <w:pStyle w:val="14"/>
        <w:tabs>
          <w:tab w:val="right" w:leader="dot" w:pos="8306"/>
        </w:tabs>
        <w:spacing w:line="360" w:lineRule="auto"/>
        <w:rPr>
          <w:sz w:val="28"/>
          <w:szCs w:val="36"/>
        </w:rPr>
      </w:pPr>
      <w:r>
        <w:fldChar w:fldCharType="begin"/>
      </w:r>
      <w:r>
        <w:instrText xml:space="preserve"> HYPERLINK \l "_Toc10533" </w:instrText>
      </w:r>
      <w:r>
        <w:fldChar w:fldCharType="separate"/>
      </w:r>
      <w:r>
        <w:rPr>
          <w:rFonts w:hint="eastAsia" w:ascii="仿宋" w:hAnsi="仿宋" w:eastAsia="仿宋"/>
          <w:bCs/>
          <w:sz w:val="28"/>
          <w:szCs w:val="40"/>
        </w:rPr>
        <w:t>（一） 大力推动结构调整，促进高质量发展</w:t>
      </w:r>
      <w:r>
        <w:rPr>
          <w:sz w:val="28"/>
          <w:szCs w:val="36"/>
        </w:rPr>
        <w:tab/>
      </w:r>
      <w:r>
        <w:rPr>
          <w:sz w:val="28"/>
          <w:szCs w:val="36"/>
        </w:rPr>
        <w:fldChar w:fldCharType="begin"/>
      </w:r>
      <w:r>
        <w:rPr>
          <w:sz w:val="28"/>
          <w:szCs w:val="36"/>
        </w:rPr>
        <w:instrText xml:space="preserve"> PAGEREF _Toc10533 \h </w:instrText>
      </w:r>
      <w:r>
        <w:rPr>
          <w:sz w:val="28"/>
          <w:szCs w:val="36"/>
        </w:rPr>
        <w:fldChar w:fldCharType="separate"/>
      </w:r>
      <w:r>
        <w:rPr>
          <w:sz w:val="28"/>
          <w:szCs w:val="36"/>
        </w:rPr>
        <w:t>11</w:t>
      </w:r>
      <w:r>
        <w:rPr>
          <w:sz w:val="28"/>
          <w:szCs w:val="36"/>
        </w:rPr>
        <w:fldChar w:fldCharType="end"/>
      </w:r>
      <w:r>
        <w:rPr>
          <w:sz w:val="28"/>
          <w:szCs w:val="36"/>
        </w:rPr>
        <w:fldChar w:fldCharType="end"/>
      </w:r>
    </w:p>
    <w:p>
      <w:pPr>
        <w:pStyle w:val="14"/>
        <w:tabs>
          <w:tab w:val="right" w:leader="dot" w:pos="8306"/>
        </w:tabs>
        <w:spacing w:line="360" w:lineRule="auto"/>
        <w:rPr>
          <w:sz w:val="28"/>
          <w:szCs w:val="36"/>
        </w:rPr>
      </w:pPr>
      <w:r>
        <w:fldChar w:fldCharType="begin"/>
      </w:r>
      <w:r>
        <w:instrText xml:space="preserve"> HYPERLINK \l "_Toc21075" </w:instrText>
      </w:r>
      <w:r>
        <w:fldChar w:fldCharType="separate"/>
      </w:r>
      <w:r>
        <w:rPr>
          <w:rFonts w:hint="eastAsia" w:ascii="仿宋" w:hAnsi="仿宋" w:eastAsia="仿宋"/>
          <w:bCs/>
          <w:sz w:val="28"/>
          <w:szCs w:val="40"/>
        </w:rPr>
        <w:t>（二） 精细管控，改善大气环境</w:t>
      </w:r>
      <w:r>
        <w:rPr>
          <w:sz w:val="28"/>
          <w:szCs w:val="36"/>
        </w:rPr>
        <w:tab/>
      </w:r>
      <w:r>
        <w:rPr>
          <w:sz w:val="28"/>
          <w:szCs w:val="36"/>
        </w:rPr>
        <w:fldChar w:fldCharType="begin"/>
      </w:r>
      <w:r>
        <w:rPr>
          <w:sz w:val="28"/>
          <w:szCs w:val="36"/>
        </w:rPr>
        <w:instrText xml:space="preserve"> PAGEREF _Toc21075 \h </w:instrText>
      </w:r>
      <w:r>
        <w:rPr>
          <w:sz w:val="28"/>
          <w:szCs w:val="36"/>
        </w:rPr>
        <w:fldChar w:fldCharType="separate"/>
      </w:r>
      <w:r>
        <w:rPr>
          <w:sz w:val="28"/>
          <w:szCs w:val="36"/>
        </w:rPr>
        <w:t>19</w:t>
      </w:r>
      <w:r>
        <w:rPr>
          <w:sz w:val="28"/>
          <w:szCs w:val="36"/>
        </w:rPr>
        <w:fldChar w:fldCharType="end"/>
      </w:r>
      <w:r>
        <w:rPr>
          <w:sz w:val="28"/>
          <w:szCs w:val="36"/>
        </w:rPr>
        <w:fldChar w:fldCharType="end"/>
      </w:r>
    </w:p>
    <w:p>
      <w:pPr>
        <w:pStyle w:val="14"/>
        <w:tabs>
          <w:tab w:val="right" w:leader="dot" w:pos="8306"/>
        </w:tabs>
        <w:spacing w:line="360" w:lineRule="auto"/>
        <w:rPr>
          <w:sz w:val="28"/>
          <w:szCs w:val="36"/>
        </w:rPr>
      </w:pPr>
      <w:r>
        <w:fldChar w:fldCharType="begin"/>
      </w:r>
      <w:r>
        <w:instrText xml:space="preserve"> HYPERLINK \l "_Toc14956" </w:instrText>
      </w:r>
      <w:r>
        <w:fldChar w:fldCharType="separate"/>
      </w:r>
      <w:r>
        <w:rPr>
          <w:rFonts w:hint="eastAsia" w:ascii="仿宋" w:hAnsi="仿宋" w:eastAsia="仿宋"/>
          <w:bCs/>
          <w:sz w:val="28"/>
          <w:szCs w:val="40"/>
        </w:rPr>
        <w:t>（三） 强化大气污染物总量减排</w:t>
      </w:r>
      <w:r>
        <w:rPr>
          <w:sz w:val="28"/>
          <w:szCs w:val="36"/>
        </w:rPr>
        <w:tab/>
      </w:r>
      <w:r>
        <w:rPr>
          <w:sz w:val="28"/>
          <w:szCs w:val="36"/>
        </w:rPr>
        <w:fldChar w:fldCharType="begin"/>
      </w:r>
      <w:r>
        <w:rPr>
          <w:sz w:val="28"/>
          <w:szCs w:val="36"/>
        </w:rPr>
        <w:instrText xml:space="preserve"> PAGEREF _Toc14956 \h </w:instrText>
      </w:r>
      <w:r>
        <w:rPr>
          <w:sz w:val="28"/>
          <w:szCs w:val="36"/>
        </w:rPr>
        <w:fldChar w:fldCharType="separate"/>
      </w:r>
      <w:r>
        <w:rPr>
          <w:sz w:val="28"/>
          <w:szCs w:val="36"/>
        </w:rPr>
        <w:t>20</w:t>
      </w:r>
      <w:r>
        <w:rPr>
          <w:sz w:val="28"/>
          <w:szCs w:val="36"/>
        </w:rPr>
        <w:fldChar w:fldCharType="end"/>
      </w:r>
      <w:r>
        <w:rPr>
          <w:sz w:val="28"/>
          <w:szCs w:val="36"/>
        </w:rPr>
        <w:fldChar w:fldCharType="end"/>
      </w:r>
    </w:p>
    <w:p>
      <w:pPr>
        <w:pStyle w:val="14"/>
        <w:tabs>
          <w:tab w:val="right" w:leader="dot" w:pos="8306"/>
        </w:tabs>
        <w:spacing w:line="360" w:lineRule="auto"/>
        <w:rPr>
          <w:sz w:val="28"/>
          <w:szCs w:val="36"/>
        </w:rPr>
      </w:pPr>
      <w:r>
        <w:fldChar w:fldCharType="begin"/>
      </w:r>
      <w:r>
        <w:instrText xml:space="preserve"> HYPERLINK \l "_Toc12240" </w:instrText>
      </w:r>
      <w:r>
        <w:fldChar w:fldCharType="separate"/>
      </w:r>
      <w:r>
        <w:rPr>
          <w:rFonts w:hint="eastAsia" w:ascii="仿宋" w:hAnsi="仿宋" w:eastAsia="仿宋"/>
          <w:bCs/>
          <w:sz w:val="28"/>
          <w:szCs w:val="40"/>
        </w:rPr>
        <w:t>（四） 控排温室气体，积极应对气候变化</w:t>
      </w:r>
      <w:r>
        <w:rPr>
          <w:sz w:val="28"/>
          <w:szCs w:val="36"/>
        </w:rPr>
        <w:tab/>
      </w:r>
      <w:r>
        <w:rPr>
          <w:sz w:val="28"/>
          <w:szCs w:val="36"/>
        </w:rPr>
        <w:fldChar w:fldCharType="begin"/>
      </w:r>
      <w:r>
        <w:rPr>
          <w:sz w:val="28"/>
          <w:szCs w:val="36"/>
        </w:rPr>
        <w:instrText xml:space="preserve"> PAGEREF _Toc12240 \h </w:instrText>
      </w:r>
      <w:r>
        <w:rPr>
          <w:sz w:val="28"/>
          <w:szCs w:val="36"/>
        </w:rPr>
        <w:fldChar w:fldCharType="separate"/>
      </w:r>
      <w:r>
        <w:rPr>
          <w:sz w:val="28"/>
          <w:szCs w:val="36"/>
        </w:rPr>
        <w:t>31</w:t>
      </w:r>
      <w:r>
        <w:rPr>
          <w:sz w:val="28"/>
          <w:szCs w:val="36"/>
        </w:rPr>
        <w:fldChar w:fldCharType="end"/>
      </w:r>
      <w:r>
        <w:rPr>
          <w:sz w:val="28"/>
          <w:szCs w:val="36"/>
        </w:rPr>
        <w:fldChar w:fldCharType="end"/>
      </w:r>
    </w:p>
    <w:p>
      <w:pPr>
        <w:pStyle w:val="14"/>
        <w:tabs>
          <w:tab w:val="right" w:leader="dot" w:pos="8306"/>
        </w:tabs>
        <w:spacing w:line="360" w:lineRule="auto"/>
        <w:rPr>
          <w:sz w:val="28"/>
          <w:szCs w:val="36"/>
        </w:rPr>
      </w:pPr>
      <w:r>
        <w:fldChar w:fldCharType="begin"/>
      </w:r>
      <w:r>
        <w:instrText xml:space="preserve"> HYPERLINK \l "_Toc11561" </w:instrText>
      </w:r>
      <w:r>
        <w:fldChar w:fldCharType="separate"/>
      </w:r>
      <w:r>
        <w:rPr>
          <w:rFonts w:hint="eastAsia" w:ascii="仿宋" w:hAnsi="仿宋" w:eastAsia="仿宋"/>
          <w:bCs/>
          <w:sz w:val="28"/>
          <w:szCs w:val="40"/>
        </w:rPr>
        <w:t>（五）构建现代化治理体系，提升环境治理能力</w:t>
      </w:r>
      <w:r>
        <w:rPr>
          <w:sz w:val="28"/>
          <w:szCs w:val="36"/>
        </w:rPr>
        <w:tab/>
      </w:r>
      <w:r>
        <w:rPr>
          <w:sz w:val="28"/>
          <w:szCs w:val="36"/>
        </w:rPr>
        <w:fldChar w:fldCharType="begin"/>
      </w:r>
      <w:r>
        <w:rPr>
          <w:sz w:val="28"/>
          <w:szCs w:val="36"/>
        </w:rPr>
        <w:instrText xml:space="preserve"> PAGEREF _Toc11561 \h </w:instrText>
      </w:r>
      <w:r>
        <w:rPr>
          <w:sz w:val="28"/>
          <w:szCs w:val="36"/>
        </w:rPr>
        <w:fldChar w:fldCharType="separate"/>
      </w:r>
      <w:r>
        <w:rPr>
          <w:sz w:val="28"/>
          <w:szCs w:val="36"/>
        </w:rPr>
        <w:t>33</w:t>
      </w:r>
      <w:r>
        <w:rPr>
          <w:sz w:val="28"/>
          <w:szCs w:val="36"/>
        </w:rPr>
        <w:fldChar w:fldCharType="end"/>
      </w:r>
      <w:r>
        <w:rPr>
          <w:sz w:val="28"/>
          <w:szCs w:val="36"/>
        </w:rPr>
        <w:fldChar w:fldCharType="end"/>
      </w:r>
    </w:p>
    <w:p>
      <w:pPr>
        <w:pStyle w:val="13"/>
        <w:tabs>
          <w:tab w:val="right" w:leader="dot" w:pos="8306"/>
        </w:tabs>
        <w:spacing w:line="360" w:lineRule="auto"/>
        <w:rPr>
          <w:sz w:val="28"/>
          <w:szCs w:val="36"/>
        </w:rPr>
      </w:pPr>
      <w:r>
        <w:fldChar w:fldCharType="begin"/>
      </w:r>
      <w:r>
        <w:instrText xml:space="preserve"> HYPERLINK \l "_Toc25245" </w:instrText>
      </w:r>
      <w:r>
        <w:fldChar w:fldCharType="separate"/>
      </w:r>
      <w:r>
        <w:rPr>
          <w:rFonts w:hint="eastAsia" w:ascii="仿宋" w:hAnsi="仿宋" w:eastAsia="仿宋"/>
          <w:sz w:val="28"/>
          <w:szCs w:val="36"/>
        </w:rPr>
        <w:t>四、重点工程项目</w:t>
      </w:r>
      <w:r>
        <w:rPr>
          <w:sz w:val="28"/>
          <w:szCs w:val="36"/>
        </w:rPr>
        <w:tab/>
      </w:r>
      <w:r>
        <w:rPr>
          <w:sz w:val="28"/>
          <w:szCs w:val="36"/>
        </w:rPr>
        <w:fldChar w:fldCharType="begin"/>
      </w:r>
      <w:r>
        <w:rPr>
          <w:sz w:val="28"/>
          <w:szCs w:val="36"/>
        </w:rPr>
        <w:instrText xml:space="preserve"> PAGEREF _Toc25245 \h </w:instrText>
      </w:r>
      <w:r>
        <w:rPr>
          <w:sz w:val="28"/>
          <w:szCs w:val="36"/>
        </w:rPr>
        <w:fldChar w:fldCharType="separate"/>
      </w:r>
      <w:r>
        <w:rPr>
          <w:sz w:val="28"/>
          <w:szCs w:val="36"/>
        </w:rPr>
        <w:t>35</w:t>
      </w:r>
      <w:r>
        <w:rPr>
          <w:sz w:val="28"/>
          <w:szCs w:val="36"/>
        </w:rPr>
        <w:fldChar w:fldCharType="end"/>
      </w:r>
      <w:r>
        <w:rPr>
          <w:sz w:val="28"/>
          <w:szCs w:val="36"/>
        </w:rPr>
        <w:fldChar w:fldCharType="end"/>
      </w:r>
    </w:p>
    <w:p>
      <w:pPr>
        <w:pStyle w:val="13"/>
        <w:tabs>
          <w:tab w:val="right" w:leader="dot" w:pos="8306"/>
        </w:tabs>
        <w:spacing w:line="360" w:lineRule="auto"/>
        <w:rPr>
          <w:sz w:val="28"/>
          <w:szCs w:val="36"/>
        </w:rPr>
      </w:pPr>
      <w:r>
        <w:fldChar w:fldCharType="begin"/>
      </w:r>
      <w:r>
        <w:instrText xml:space="preserve"> HYPERLINK \l "_Toc16461" </w:instrText>
      </w:r>
      <w:r>
        <w:fldChar w:fldCharType="separate"/>
      </w:r>
      <w:r>
        <w:rPr>
          <w:rFonts w:hint="eastAsia" w:ascii="仿宋" w:hAnsi="仿宋" w:eastAsia="仿宋"/>
          <w:sz w:val="28"/>
          <w:szCs w:val="36"/>
        </w:rPr>
        <w:t>五、保障措施</w:t>
      </w:r>
      <w:r>
        <w:rPr>
          <w:sz w:val="28"/>
          <w:szCs w:val="36"/>
        </w:rPr>
        <w:tab/>
      </w:r>
      <w:r>
        <w:rPr>
          <w:sz w:val="28"/>
          <w:szCs w:val="36"/>
        </w:rPr>
        <w:fldChar w:fldCharType="begin"/>
      </w:r>
      <w:r>
        <w:rPr>
          <w:sz w:val="28"/>
          <w:szCs w:val="36"/>
        </w:rPr>
        <w:instrText xml:space="preserve"> PAGEREF _Toc16461 \h </w:instrText>
      </w:r>
      <w:r>
        <w:rPr>
          <w:sz w:val="28"/>
          <w:szCs w:val="36"/>
        </w:rPr>
        <w:fldChar w:fldCharType="separate"/>
      </w:r>
      <w:r>
        <w:rPr>
          <w:sz w:val="28"/>
          <w:szCs w:val="36"/>
        </w:rPr>
        <w:t>38</w:t>
      </w:r>
      <w:r>
        <w:rPr>
          <w:sz w:val="28"/>
          <w:szCs w:val="36"/>
        </w:rPr>
        <w:fldChar w:fldCharType="end"/>
      </w:r>
      <w:r>
        <w:rPr>
          <w:sz w:val="28"/>
          <w:szCs w:val="36"/>
        </w:rPr>
        <w:fldChar w:fldCharType="end"/>
      </w:r>
    </w:p>
    <w:p>
      <w:pPr>
        <w:pStyle w:val="14"/>
        <w:tabs>
          <w:tab w:val="right" w:leader="dot" w:pos="8306"/>
        </w:tabs>
        <w:spacing w:line="360" w:lineRule="auto"/>
        <w:rPr>
          <w:sz w:val="28"/>
          <w:szCs w:val="36"/>
        </w:rPr>
      </w:pPr>
      <w:r>
        <w:fldChar w:fldCharType="begin"/>
      </w:r>
      <w:r>
        <w:instrText xml:space="preserve"> HYPERLINK \l "_Toc6991" </w:instrText>
      </w:r>
      <w:r>
        <w:fldChar w:fldCharType="separate"/>
      </w:r>
      <w:r>
        <w:rPr>
          <w:rFonts w:hint="eastAsia" w:ascii="仿宋" w:hAnsi="仿宋" w:eastAsia="仿宋"/>
          <w:bCs/>
          <w:sz w:val="28"/>
          <w:szCs w:val="40"/>
        </w:rPr>
        <w:t>（一）</w:t>
      </w:r>
      <w:r>
        <w:rPr>
          <w:rFonts w:hint="eastAsia" w:ascii="仿宋" w:hAnsi="仿宋" w:eastAsia="仿宋"/>
          <w:sz w:val="28"/>
          <w:szCs w:val="40"/>
        </w:rPr>
        <w:t>加强组织领导，明确责任分工</w:t>
      </w:r>
      <w:r>
        <w:rPr>
          <w:sz w:val="28"/>
          <w:szCs w:val="36"/>
        </w:rPr>
        <w:tab/>
      </w:r>
      <w:r>
        <w:rPr>
          <w:sz w:val="28"/>
          <w:szCs w:val="36"/>
        </w:rPr>
        <w:fldChar w:fldCharType="begin"/>
      </w:r>
      <w:r>
        <w:rPr>
          <w:sz w:val="28"/>
          <w:szCs w:val="36"/>
        </w:rPr>
        <w:instrText xml:space="preserve"> PAGEREF _Toc6991 \h </w:instrText>
      </w:r>
      <w:r>
        <w:rPr>
          <w:sz w:val="28"/>
          <w:szCs w:val="36"/>
        </w:rPr>
        <w:fldChar w:fldCharType="separate"/>
      </w:r>
      <w:r>
        <w:rPr>
          <w:sz w:val="28"/>
          <w:szCs w:val="36"/>
        </w:rPr>
        <w:t>38</w:t>
      </w:r>
      <w:r>
        <w:rPr>
          <w:sz w:val="28"/>
          <w:szCs w:val="36"/>
        </w:rPr>
        <w:fldChar w:fldCharType="end"/>
      </w:r>
      <w:r>
        <w:rPr>
          <w:sz w:val="28"/>
          <w:szCs w:val="36"/>
        </w:rPr>
        <w:fldChar w:fldCharType="end"/>
      </w:r>
    </w:p>
    <w:p>
      <w:pPr>
        <w:pStyle w:val="14"/>
        <w:tabs>
          <w:tab w:val="right" w:leader="dot" w:pos="8306"/>
        </w:tabs>
        <w:spacing w:line="360" w:lineRule="auto"/>
        <w:rPr>
          <w:sz w:val="28"/>
          <w:szCs w:val="36"/>
        </w:rPr>
      </w:pPr>
      <w:r>
        <w:fldChar w:fldCharType="begin"/>
      </w:r>
      <w:r>
        <w:instrText xml:space="preserve"> HYPERLINK \l "_Toc16837" </w:instrText>
      </w:r>
      <w:r>
        <w:fldChar w:fldCharType="separate"/>
      </w:r>
      <w:r>
        <w:rPr>
          <w:rFonts w:hint="eastAsia" w:ascii="仿宋" w:hAnsi="仿宋" w:eastAsia="仿宋"/>
          <w:kern w:val="0"/>
          <w:sz w:val="28"/>
          <w:szCs w:val="40"/>
        </w:rPr>
        <w:t>（二）统筹资金投入，创新投资方式</w:t>
      </w:r>
      <w:r>
        <w:rPr>
          <w:sz w:val="28"/>
          <w:szCs w:val="36"/>
        </w:rPr>
        <w:tab/>
      </w:r>
      <w:r>
        <w:rPr>
          <w:sz w:val="28"/>
          <w:szCs w:val="36"/>
        </w:rPr>
        <w:fldChar w:fldCharType="begin"/>
      </w:r>
      <w:r>
        <w:rPr>
          <w:sz w:val="28"/>
          <w:szCs w:val="36"/>
        </w:rPr>
        <w:instrText xml:space="preserve"> PAGEREF _Toc16837 \h </w:instrText>
      </w:r>
      <w:r>
        <w:rPr>
          <w:sz w:val="28"/>
          <w:szCs w:val="36"/>
        </w:rPr>
        <w:fldChar w:fldCharType="separate"/>
      </w:r>
      <w:r>
        <w:rPr>
          <w:sz w:val="28"/>
          <w:szCs w:val="36"/>
        </w:rPr>
        <w:t>38</w:t>
      </w:r>
      <w:r>
        <w:rPr>
          <w:sz w:val="28"/>
          <w:szCs w:val="36"/>
        </w:rPr>
        <w:fldChar w:fldCharType="end"/>
      </w:r>
      <w:r>
        <w:rPr>
          <w:sz w:val="28"/>
          <w:szCs w:val="36"/>
        </w:rPr>
        <w:fldChar w:fldCharType="end"/>
      </w:r>
    </w:p>
    <w:p>
      <w:pPr>
        <w:pStyle w:val="14"/>
        <w:tabs>
          <w:tab w:val="right" w:leader="dot" w:pos="8306"/>
        </w:tabs>
        <w:spacing w:line="360" w:lineRule="auto"/>
        <w:rPr>
          <w:sz w:val="28"/>
          <w:szCs w:val="36"/>
        </w:rPr>
      </w:pPr>
      <w:r>
        <w:fldChar w:fldCharType="begin"/>
      </w:r>
      <w:r>
        <w:instrText xml:space="preserve"> HYPERLINK \l "_Toc11487" </w:instrText>
      </w:r>
      <w:r>
        <w:fldChar w:fldCharType="separate"/>
      </w:r>
      <w:r>
        <w:rPr>
          <w:rFonts w:hint="eastAsia" w:ascii="仿宋" w:hAnsi="仿宋" w:eastAsia="仿宋"/>
          <w:bCs/>
          <w:sz w:val="28"/>
          <w:szCs w:val="40"/>
        </w:rPr>
        <w:t>（三）</w:t>
      </w:r>
      <w:r>
        <w:rPr>
          <w:rFonts w:hint="eastAsia" w:ascii="仿宋" w:hAnsi="仿宋" w:eastAsia="仿宋"/>
          <w:sz w:val="28"/>
          <w:szCs w:val="40"/>
        </w:rPr>
        <w:t>加强监督考核，确保实施成效</w:t>
      </w:r>
      <w:r>
        <w:rPr>
          <w:sz w:val="28"/>
          <w:szCs w:val="36"/>
        </w:rPr>
        <w:tab/>
      </w:r>
      <w:r>
        <w:rPr>
          <w:sz w:val="28"/>
          <w:szCs w:val="36"/>
        </w:rPr>
        <w:fldChar w:fldCharType="begin"/>
      </w:r>
      <w:r>
        <w:rPr>
          <w:sz w:val="28"/>
          <w:szCs w:val="36"/>
        </w:rPr>
        <w:instrText xml:space="preserve"> PAGEREF _Toc11487 \h </w:instrText>
      </w:r>
      <w:r>
        <w:rPr>
          <w:sz w:val="28"/>
          <w:szCs w:val="36"/>
        </w:rPr>
        <w:fldChar w:fldCharType="separate"/>
      </w:r>
      <w:r>
        <w:rPr>
          <w:sz w:val="28"/>
          <w:szCs w:val="36"/>
        </w:rPr>
        <w:t>39</w:t>
      </w:r>
      <w:r>
        <w:rPr>
          <w:sz w:val="28"/>
          <w:szCs w:val="36"/>
        </w:rPr>
        <w:fldChar w:fldCharType="end"/>
      </w:r>
      <w:r>
        <w:rPr>
          <w:sz w:val="28"/>
          <w:szCs w:val="36"/>
        </w:rPr>
        <w:fldChar w:fldCharType="end"/>
      </w:r>
    </w:p>
    <w:p>
      <w:pPr>
        <w:pStyle w:val="14"/>
        <w:tabs>
          <w:tab w:val="right" w:leader="dot" w:pos="8306"/>
        </w:tabs>
        <w:spacing w:line="360" w:lineRule="auto"/>
      </w:pPr>
      <w:r>
        <w:fldChar w:fldCharType="begin"/>
      </w:r>
      <w:r>
        <w:instrText xml:space="preserve"> HYPERLINK \l "_Toc336" </w:instrText>
      </w:r>
      <w:r>
        <w:fldChar w:fldCharType="separate"/>
      </w:r>
      <w:r>
        <w:rPr>
          <w:rFonts w:hint="eastAsia" w:ascii="仿宋" w:hAnsi="仿宋" w:eastAsia="仿宋"/>
          <w:bCs/>
          <w:sz w:val="28"/>
          <w:szCs w:val="40"/>
        </w:rPr>
        <w:t>（四）加大宣传引导，鼓励社会参与</w:t>
      </w:r>
      <w:r>
        <w:rPr>
          <w:sz w:val="28"/>
          <w:szCs w:val="36"/>
        </w:rPr>
        <w:tab/>
      </w:r>
      <w:r>
        <w:rPr>
          <w:sz w:val="28"/>
          <w:szCs w:val="36"/>
        </w:rPr>
        <w:fldChar w:fldCharType="begin"/>
      </w:r>
      <w:r>
        <w:rPr>
          <w:sz w:val="28"/>
          <w:szCs w:val="36"/>
        </w:rPr>
        <w:instrText xml:space="preserve"> PAGEREF _Toc336 \h </w:instrText>
      </w:r>
      <w:r>
        <w:rPr>
          <w:sz w:val="28"/>
          <w:szCs w:val="36"/>
        </w:rPr>
        <w:fldChar w:fldCharType="separate"/>
      </w:r>
      <w:r>
        <w:rPr>
          <w:sz w:val="28"/>
          <w:szCs w:val="36"/>
        </w:rPr>
        <w:t>39</w:t>
      </w:r>
      <w:r>
        <w:rPr>
          <w:sz w:val="28"/>
          <w:szCs w:val="36"/>
        </w:rPr>
        <w:fldChar w:fldCharType="end"/>
      </w:r>
      <w:r>
        <w:rPr>
          <w:sz w:val="28"/>
          <w:szCs w:val="36"/>
        </w:rPr>
        <w:fldChar w:fldCharType="end"/>
      </w:r>
    </w:p>
    <w:p>
      <w:pPr>
        <w:spacing w:line="360" w:lineRule="auto"/>
        <w:rPr>
          <w:rFonts w:ascii="仿宋" w:hAnsi="仿宋" w:eastAsia="仿宋" w:cs="宋体"/>
          <w:sz w:val="40"/>
          <w:szCs w:val="40"/>
        </w:rPr>
        <w:sectPr>
          <w:pgSz w:w="11906" w:h="16838"/>
          <w:pgMar w:top="1440" w:right="1800" w:bottom="1440" w:left="1800" w:header="851" w:footer="992" w:gutter="0"/>
          <w:pgNumType w:fmt="upperRoman" w:start="1"/>
          <w:cols w:space="425" w:num="1"/>
          <w:docGrid w:type="lines" w:linePitch="312" w:charSpace="0"/>
        </w:sectPr>
      </w:pPr>
      <w:r>
        <w:rPr>
          <w:rFonts w:ascii="仿宋" w:hAnsi="仿宋" w:eastAsia="仿宋" w:cs="宋体"/>
          <w:szCs w:val="40"/>
        </w:rPr>
        <w:fldChar w:fldCharType="end"/>
      </w:r>
    </w:p>
    <w:p>
      <w:pPr>
        <w:pStyle w:val="2"/>
        <w:jc w:val="center"/>
        <w:rPr>
          <w:rFonts w:ascii="仿宋" w:hAnsi="仿宋" w:eastAsia="仿宋" w:cs="宋体"/>
        </w:rPr>
      </w:pPr>
      <w:bookmarkStart w:id="2" w:name="_Toc379"/>
      <w:r>
        <w:rPr>
          <w:rFonts w:hint="eastAsia" w:ascii="仿宋" w:hAnsi="仿宋" w:eastAsia="仿宋" w:cs="宋体"/>
        </w:rPr>
        <w:t>前  言</w:t>
      </w:r>
      <w:bookmarkEnd w:id="2"/>
    </w:p>
    <w:p>
      <w:pPr>
        <w:pStyle w:val="23"/>
        <w:tabs>
          <w:tab w:val="right" w:leader="dot" w:pos="8844"/>
        </w:tabs>
        <w:rPr>
          <w:rFonts w:ascii="仿宋" w:hAnsi="仿宋" w:eastAsia="仿宋" w:cs="宋体"/>
          <w:b/>
          <w:sz w:val="24"/>
          <w:szCs w:val="24"/>
        </w:rPr>
      </w:pPr>
    </w:p>
    <w:p>
      <w:pPr>
        <w:pStyle w:val="7"/>
        <w:spacing w:line="360" w:lineRule="auto"/>
        <w:ind w:firstLine="560"/>
        <w:jc w:val="both"/>
        <w:rPr>
          <w:rFonts w:cs="宋体"/>
          <w:szCs w:val="36"/>
        </w:rPr>
      </w:pPr>
      <w:r>
        <w:rPr>
          <w:rFonts w:hint="eastAsia" w:cs="宋体"/>
          <w:szCs w:val="36"/>
        </w:rPr>
        <w:t>为贯彻落实十九大以来的</w:t>
      </w:r>
      <w:r>
        <w:rPr>
          <w:rFonts w:hint="eastAsia" w:cs="宋体"/>
          <w:szCs w:val="36"/>
          <w:lang w:eastAsia="zh-CN"/>
        </w:rPr>
        <w:t>习近平生态文明思想</w:t>
      </w:r>
      <w:r>
        <w:rPr>
          <w:rFonts w:hint="eastAsia" w:cs="宋体"/>
          <w:szCs w:val="36"/>
        </w:rPr>
        <w:t>，加快生态文明体制改革，建设美丽中国，按照稳中求进的总基调，遵循预防为主、保护优先、分类管理、风险管控、污染担责、公众参与的原则，依据《中华人民共和国大气污染防治法》、《打赢蓝天保卫战三年行动计划》、</w:t>
      </w:r>
      <w:r>
        <w:rPr>
          <w:rFonts w:hint="eastAsia" w:cs="宋体"/>
        </w:rPr>
        <w:t>大气污染综合治理方案</w:t>
      </w:r>
      <w:r>
        <w:rPr>
          <w:rFonts w:hint="eastAsia" w:cs="宋体"/>
          <w:szCs w:val="36"/>
        </w:rPr>
        <w:t>等相关政策要求，结合德惠市“十四五”国民经济和社会发展规划，特编制《德惠市生态环境保护“十四五”规划大气污染防治专项规划》（以下简称“规划”）。</w:t>
      </w:r>
    </w:p>
    <w:p>
      <w:pPr>
        <w:pStyle w:val="7"/>
        <w:spacing w:line="360" w:lineRule="auto"/>
        <w:ind w:firstLine="560"/>
        <w:jc w:val="both"/>
        <w:rPr>
          <w:rFonts w:cs="宋体"/>
          <w:szCs w:val="36"/>
        </w:rPr>
      </w:pPr>
      <w:r>
        <w:rPr>
          <w:rFonts w:hint="eastAsia" w:cs="宋体"/>
          <w:szCs w:val="36"/>
        </w:rPr>
        <w:t>长春市生态环境局</w:t>
      </w:r>
      <w:r>
        <w:rPr>
          <w:rFonts w:hint="eastAsia" w:cs="宋体"/>
          <w:szCs w:val="36"/>
          <w:lang w:val="en-US"/>
        </w:rPr>
        <w:t>德惠市</w:t>
      </w:r>
      <w:r>
        <w:rPr>
          <w:rFonts w:hint="eastAsia" w:cs="宋体"/>
          <w:szCs w:val="36"/>
        </w:rPr>
        <w:t>分局在充分总结“十三五”时期大气污染防治工作成效、归纳相关经验和问题的基础上，参考《长春市生态环境保护“十四五”规划大气污染防治专项规划》，确定了规划“十四五”期间的总体思路、主要任务、重点工程和保障措施。推进实施一批大气生态环境源头预防、风险管控、污染治理等重点工程，解决一批突出环境问题，建立健全法规标准体系和监测网络，全面提升监管能力水平，实现治理体系和治理能力现代化。</w:t>
      </w:r>
    </w:p>
    <w:p>
      <w:pPr>
        <w:pStyle w:val="7"/>
        <w:spacing w:line="360" w:lineRule="auto"/>
        <w:ind w:firstLine="560"/>
        <w:jc w:val="both"/>
      </w:pPr>
      <w:r>
        <w:rPr>
          <w:rFonts w:hint="eastAsia" w:cs="宋体"/>
          <w:szCs w:val="36"/>
        </w:rPr>
        <w:t>规划的编制，对于统筹谋划今后五年大气生态环境保护工作，推进巩固蓝天保卫战成果，协调德惠市“十四五”经济社会全面发展具有重要意义。</w:t>
      </w:r>
    </w:p>
    <w:p>
      <w:pPr>
        <w:pStyle w:val="23"/>
        <w:tabs>
          <w:tab w:val="right" w:leader="dot" w:pos="8844"/>
        </w:tabs>
        <w:rPr>
          <w:rFonts w:ascii="仿宋" w:hAnsi="仿宋" w:eastAsia="仿宋"/>
          <w:b/>
          <w:sz w:val="24"/>
          <w:szCs w:val="24"/>
        </w:rPr>
        <w:sectPr>
          <w:footerReference r:id="rId4" w:type="default"/>
          <w:pgSz w:w="11906" w:h="16838"/>
          <w:pgMar w:top="1440" w:right="1800" w:bottom="1440" w:left="1800" w:header="851" w:footer="992" w:gutter="0"/>
          <w:pgNumType w:start="1"/>
          <w:cols w:space="425" w:num="1"/>
          <w:docGrid w:type="lines" w:linePitch="312" w:charSpace="0"/>
        </w:sectPr>
      </w:pPr>
    </w:p>
    <w:p>
      <w:pPr>
        <w:pStyle w:val="23"/>
        <w:tabs>
          <w:tab w:val="right" w:leader="dot" w:pos="8844"/>
        </w:tabs>
        <w:rPr>
          <w:rFonts w:ascii="仿宋" w:hAnsi="仿宋" w:eastAsia="仿宋"/>
          <w:b/>
          <w:sz w:val="24"/>
          <w:szCs w:val="24"/>
        </w:rPr>
      </w:pPr>
    </w:p>
    <w:p>
      <w:pPr>
        <w:pStyle w:val="2"/>
        <w:rPr>
          <w:rFonts w:ascii="仿宋" w:hAnsi="仿宋" w:eastAsia="仿宋"/>
        </w:rPr>
      </w:pPr>
      <w:bookmarkStart w:id="3" w:name="_Toc29625"/>
      <w:r>
        <w:rPr>
          <w:rFonts w:hint="eastAsia"/>
        </w:rPr>
        <w:fldChar w:fldCharType="begin"/>
      </w:r>
      <w:r>
        <w:instrText xml:space="preserve"> HYPERLINK \l "_Toc7494" </w:instrText>
      </w:r>
      <w:r>
        <w:rPr>
          <w:rFonts w:hint="eastAsia"/>
        </w:rPr>
        <w:fldChar w:fldCharType="separate"/>
      </w:r>
      <w:r>
        <w:rPr>
          <w:rFonts w:hint="eastAsia" w:ascii="仿宋" w:hAnsi="仿宋" w:eastAsia="仿宋"/>
        </w:rPr>
        <w:t>一、形势与挑战</w:t>
      </w:r>
      <w:r>
        <w:rPr>
          <w:rFonts w:hint="eastAsia" w:ascii="仿宋" w:hAnsi="仿宋" w:eastAsia="仿宋"/>
        </w:rPr>
        <w:fldChar w:fldCharType="end"/>
      </w:r>
      <w:bookmarkEnd w:id="3"/>
    </w:p>
    <w:p>
      <w:pPr>
        <w:pStyle w:val="3"/>
        <w:rPr>
          <w:rFonts w:ascii="仿宋" w:hAnsi="仿宋" w:eastAsia="仿宋"/>
        </w:rPr>
      </w:pPr>
      <w:bookmarkStart w:id="4" w:name="_Toc3465"/>
      <w:r>
        <w:rPr>
          <w:rFonts w:hint="eastAsia" w:ascii="仿宋" w:hAnsi="仿宋" w:eastAsia="仿宋"/>
        </w:rPr>
        <w:t>（一）“十三五”期间大气污染防治取得成效</w:t>
      </w:r>
      <w:bookmarkEnd w:id="4"/>
    </w:p>
    <w:p>
      <w:pPr>
        <w:pStyle w:val="7"/>
        <w:rPr>
          <w:rStyle w:val="20"/>
          <w:b w:val="0"/>
          <w:bCs w:val="0"/>
        </w:rPr>
      </w:pPr>
      <w:r>
        <w:rPr>
          <w:rStyle w:val="20"/>
          <w:rFonts w:hint="eastAsia"/>
          <w:b w:val="0"/>
          <w:bCs w:val="0"/>
        </w:rPr>
        <w:t>德惠市“十三五”大气环境生态环境保护指标完成情况见表1</w:t>
      </w:r>
    </w:p>
    <w:p>
      <w:pPr>
        <w:pStyle w:val="7"/>
        <w:rPr>
          <w:rStyle w:val="20"/>
          <w:b w:val="0"/>
          <w:bCs w:val="0"/>
        </w:rPr>
      </w:pPr>
      <w:r>
        <w:rPr>
          <w:rStyle w:val="20"/>
          <w:rFonts w:hint="eastAsia"/>
          <w:b w:val="0"/>
          <w:bCs w:val="0"/>
        </w:rPr>
        <w:t>表1  德惠市“十三五”大气生态环境保护指标完成情况汇总表</w:t>
      </w:r>
    </w:p>
    <w:tbl>
      <w:tblPr>
        <w:tblStyle w:val="18"/>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1"/>
        <w:gridCol w:w="3397"/>
        <w:gridCol w:w="1754"/>
        <w:gridCol w:w="1493"/>
        <w:gridCol w:w="8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trPr>
        <w:tc>
          <w:tcPr>
            <w:tcW w:w="2528" w:type="pct"/>
            <w:gridSpan w:val="2"/>
            <w:tcMar>
              <w:top w:w="0" w:type="dxa"/>
              <w:left w:w="28" w:type="dxa"/>
              <w:bottom w:w="0" w:type="dxa"/>
              <w:right w:w="28" w:type="dxa"/>
            </w:tcMar>
            <w:vAlign w:val="center"/>
          </w:tcPr>
          <w:p>
            <w:pPr>
              <w:widowControl/>
              <w:spacing w:before="100" w:beforeAutospacing="1" w:after="100" w:afterAutospacing="1"/>
              <w:ind w:firstLine="480"/>
              <w:jc w:val="center"/>
              <w:rPr>
                <w:rFonts w:ascii="仿宋" w:hAnsi="仿宋" w:eastAsia="仿宋" w:cs="仿宋"/>
                <w:kern w:val="0"/>
                <w:sz w:val="24"/>
                <w:lang w:val="zh-CN" w:bidi="zh-CN"/>
              </w:rPr>
            </w:pPr>
            <w:r>
              <w:rPr>
                <w:rFonts w:hint="eastAsia" w:ascii="仿宋" w:hAnsi="仿宋" w:eastAsia="仿宋" w:cs="仿宋"/>
                <w:kern w:val="0"/>
                <w:sz w:val="24"/>
                <w:lang w:val="zh-CN" w:bidi="zh-CN"/>
              </w:rPr>
              <w:t>项目</w:t>
            </w:r>
          </w:p>
        </w:tc>
        <w:tc>
          <w:tcPr>
            <w:tcW w:w="1049" w:type="pct"/>
            <w:tcMar>
              <w:top w:w="0" w:type="dxa"/>
              <w:left w:w="28" w:type="dxa"/>
              <w:bottom w:w="0" w:type="dxa"/>
              <w:right w:w="28" w:type="dxa"/>
            </w:tcMar>
            <w:vAlign w:val="center"/>
          </w:tcPr>
          <w:p>
            <w:pPr>
              <w:widowControl/>
              <w:spacing w:before="100" w:beforeAutospacing="1" w:after="100" w:afterAutospacing="1"/>
              <w:jc w:val="center"/>
              <w:rPr>
                <w:rFonts w:ascii="仿宋" w:hAnsi="仿宋" w:eastAsia="仿宋" w:cs="仿宋"/>
                <w:kern w:val="0"/>
                <w:sz w:val="24"/>
                <w:lang w:val="zh-CN" w:bidi="zh-CN"/>
              </w:rPr>
            </w:pPr>
            <w:r>
              <w:rPr>
                <w:rFonts w:hint="eastAsia" w:ascii="仿宋" w:hAnsi="仿宋" w:eastAsia="仿宋" w:cs="仿宋"/>
                <w:kern w:val="0"/>
                <w:sz w:val="24"/>
                <w:lang w:val="zh-CN" w:bidi="zh-CN"/>
              </w:rPr>
              <w:t>2020年规划指标</w:t>
            </w:r>
          </w:p>
        </w:tc>
        <w:tc>
          <w:tcPr>
            <w:tcW w:w="893" w:type="pct"/>
            <w:tcMar>
              <w:top w:w="0" w:type="dxa"/>
              <w:left w:w="28" w:type="dxa"/>
              <w:bottom w:w="0" w:type="dxa"/>
              <w:right w:w="28" w:type="dxa"/>
            </w:tcMar>
            <w:vAlign w:val="center"/>
          </w:tcPr>
          <w:p>
            <w:pPr>
              <w:widowControl/>
              <w:spacing w:before="100" w:beforeAutospacing="1" w:after="100" w:afterAutospacing="1"/>
              <w:ind w:left="-22"/>
              <w:jc w:val="center"/>
              <w:rPr>
                <w:rFonts w:ascii="仿宋" w:hAnsi="仿宋" w:eastAsia="仿宋" w:cs="仿宋"/>
                <w:kern w:val="0"/>
                <w:sz w:val="24"/>
                <w:lang w:val="zh-CN" w:bidi="zh-CN"/>
              </w:rPr>
            </w:pPr>
            <w:r>
              <w:rPr>
                <w:rFonts w:hint="eastAsia" w:ascii="仿宋" w:hAnsi="仿宋" w:eastAsia="仿宋" w:cs="仿宋"/>
                <w:kern w:val="0"/>
                <w:sz w:val="24"/>
                <w:lang w:val="zh-CN" w:bidi="zh-CN"/>
              </w:rPr>
              <w:t>2020年现状指标</w:t>
            </w:r>
          </w:p>
        </w:tc>
        <w:tc>
          <w:tcPr>
            <w:tcW w:w="530" w:type="pct"/>
            <w:tcMar>
              <w:top w:w="0" w:type="dxa"/>
              <w:left w:w="28" w:type="dxa"/>
              <w:bottom w:w="0" w:type="dxa"/>
              <w:right w:w="28" w:type="dxa"/>
            </w:tcMar>
            <w:vAlign w:val="center"/>
          </w:tcPr>
          <w:p>
            <w:pPr>
              <w:widowControl/>
              <w:spacing w:before="100" w:beforeAutospacing="1" w:after="100" w:afterAutospacing="1"/>
              <w:jc w:val="center"/>
              <w:rPr>
                <w:rFonts w:ascii="仿宋" w:hAnsi="仿宋" w:eastAsia="仿宋" w:cs="仿宋"/>
                <w:kern w:val="0"/>
                <w:sz w:val="24"/>
                <w:lang w:val="zh-CN" w:bidi="zh-CN"/>
              </w:rPr>
            </w:pPr>
            <w:r>
              <w:rPr>
                <w:rFonts w:hint="eastAsia" w:ascii="仿宋" w:hAnsi="仿宋" w:eastAsia="仿宋" w:cs="仿宋"/>
                <w:kern w:val="0"/>
                <w:sz w:val="24"/>
                <w:lang w:val="zh-CN" w:bidi="zh-CN"/>
              </w:rPr>
              <w:t>属性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497" w:type="pct"/>
            <w:vMerge w:val="restart"/>
            <w:vAlign w:val="center"/>
          </w:tcPr>
          <w:p>
            <w:pPr>
              <w:widowControl/>
              <w:jc w:val="left"/>
              <w:rPr>
                <w:rFonts w:ascii="仿宋" w:hAnsi="仿宋" w:eastAsia="仿宋" w:cs="仿宋"/>
                <w:kern w:val="0"/>
                <w:sz w:val="24"/>
                <w:lang w:val="zh-CN" w:bidi="zh-CN"/>
              </w:rPr>
            </w:pPr>
            <w:r>
              <w:rPr>
                <w:rFonts w:hint="eastAsia" w:ascii="仿宋" w:hAnsi="仿宋" w:eastAsia="仿宋" w:cs="仿宋"/>
                <w:kern w:val="0"/>
                <w:sz w:val="24"/>
                <w:lang w:val="zh-CN" w:bidi="zh-CN"/>
              </w:rPr>
              <w:t>环境质量</w:t>
            </w:r>
          </w:p>
        </w:tc>
        <w:tc>
          <w:tcPr>
            <w:tcW w:w="2031" w:type="pct"/>
            <w:tcMar>
              <w:top w:w="0" w:type="dxa"/>
              <w:left w:w="28" w:type="dxa"/>
              <w:bottom w:w="0" w:type="dxa"/>
              <w:right w:w="28" w:type="dxa"/>
            </w:tcMar>
            <w:vAlign w:val="center"/>
          </w:tcPr>
          <w:p>
            <w:pPr>
              <w:widowControl/>
              <w:spacing w:before="100" w:beforeAutospacing="1" w:after="100" w:afterAutospacing="1"/>
              <w:jc w:val="left"/>
              <w:rPr>
                <w:rFonts w:ascii="仿宋" w:hAnsi="仿宋" w:eastAsia="仿宋" w:cs="仿宋"/>
                <w:kern w:val="0"/>
                <w:sz w:val="24"/>
                <w:lang w:val="zh-CN" w:bidi="zh-CN"/>
              </w:rPr>
            </w:pPr>
            <w:r>
              <w:rPr>
                <w:rFonts w:hint="eastAsia" w:ascii="仿宋" w:hAnsi="仿宋" w:eastAsia="仿宋" w:cs="仿宋"/>
                <w:kern w:val="0"/>
                <w:sz w:val="24"/>
                <w:lang w:val="zh-CN" w:bidi="zh-CN"/>
              </w:rPr>
              <w:t>城市空气质量优良天数比例（%）</w:t>
            </w:r>
          </w:p>
        </w:tc>
        <w:tc>
          <w:tcPr>
            <w:tcW w:w="1049" w:type="pct"/>
            <w:tcMar>
              <w:top w:w="0" w:type="dxa"/>
              <w:left w:w="28" w:type="dxa"/>
              <w:bottom w:w="0" w:type="dxa"/>
              <w:right w:w="28" w:type="dxa"/>
            </w:tcMar>
            <w:vAlign w:val="center"/>
          </w:tcPr>
          <w:p>
            <w:pPr>
              <w:widowControl/>
              <w:spacing w:before="100" w:beforeAutospacing="1" w:after="100" w:afterAutospacing="1"/>
              <w:jc w:val="center"/>
              <w:rPr>
                <w:rFonts w:ascii="仿宋" w:hAnsi="仿宋" w:eastAsia="仿宋" w:cs="仿宋"/>
                <w:kern w:val="0"/>
                <w:sz w:val="24"/>
                <w:lang w:val="zh-CN" w:bidi="zh-CN"/>
              </w:rPr>
            </w:pPr>
            <w:r>
              <w:rPr>
                <w:rFonts w:hint="eastAsia" w:ascii="仿宋" w:hAnsi="仿宋" w:eastAsia="仿宋" w:cs="仿宋"/>
                <w:kern w:val="0"/>
                <w:sz w:val="24"/>
                <w:lang w:val="zh-CN" w:bidi="zh-CN"/>
              </w:rPr>
              <w:t>≥80</w:t>
            </w:r>
          </w:p>
        </w:tc>
        <w:tc>
          <w:tcPr>
            <w:tcW w:w="893" w:type="pct"/>
            <w:tcMar>
              <w:top w:w="0" w:type="dxa"/>
              <w:left w:w="28" w:type="dxa"/>
              <w:bottom w:w="0" w:type="dxa"/>
              <w:right w:w="28" w:type="dxa"/>
            </w:tcMar>
            <w:vAlign w:val="center"/>
          </w:tcPr>
          <w:p>
            <w:pPr>
              <w:widowControl/>
              <w:spacing w:before="100" w:beforeAutospacing="1" w:after="100" w:afterAutospacing="1"/>
              <w:jc w:val="center"/>
              <w:rPr>
                <w:rFonts w:ascii="仿宋" w:hAnsi="仿宋" w:eastAsia="仿宋" w:cs="仿宋"/>
                <w:kern w:val="0"/>
                <w:sz w:val="24"/>
                <w:lang w:val="zh-CN" w:bidi="zh-CN"/>
              </w:rPr>
            </w:pPr>
            <w:r>
              <w:rPr>
                <w:rFonts w:hint="eastAsia" w:ascii="仿宋" w:hAnsi="仿宋" w:eastAsia="仿宋" w:cs="仿宋"/>
                <w:kern w:val="0"/>
                <w:sz w:val="24"/>
                <w:lang w:val="zh-CN" w:bidi="zh-CN"/>
              </w:rPr>
              <w:t>8</w:t>
            </w:r>
            <w:r>
              <w:rPr>
                <w:rFonts w:ascii="仿宋" w:hAnsi="仿宋" w:eastAsia="仿宋" w:cs="仿宋"/>
                <w:kern w:val="0"/>
                <w:sz w:val="24"/>
                <w:lang w:val="zh-CN" w:bidi="zh-CN"/>
              </w:rPr>
              <w:t>3</w:t>
            </w:r>
          </w:p>
        </w:tc>
        <w:tc>
          <w:tcPr>
            <w:tcW w:w="530" w:type="pct"/>
            <w:vMerge w:val="restart"/>
            <w:tcMar>
              <w:top w:w="0" w:type="dxa"/>
              <w:left w:w="28" w:type="dxa"/>
              <w:bottom w:w="0" w:type="dxa"/>
              <w:right w:w="28" w:type="dxa"/>
            </w:tcMar>
            <w:vAlign w:val="center"/>
          </w:tcPr>
          <w:p>
            <w:pPr>
              <w:widowControl/>
              <w:spacing w:before="100" w:beforeAutospacing="1" w:after="100" w:afterAutospacing="1"/>
              <w:jc w:val="center"/>
              <w:rPr>
                <w:rFonts w:ascii="仿宋" w:hAnsi="仿宋" w:eastAsia="仿宋" w:cs="仿宋"/>
                <w:kern w:val="0"/>
                <w:sz w:val="24"/>
                <w:lang w:val="zh-CN" w:bidi="zh-CN"/>
              </w:rPr>
            </w:pPr>
            <w:r>
              <w:rPr>
                <w:rFonts w:hint="eastAsia" w:ascii="仿宋" w:hAnsi="仿宋" w:eastAsia="仿宋" w:cs="仿宋"/>
                <w:kern w:val="0"/>
                <w:sz w:val="24"/>
                <w:lang w:val="zh-CN" w:bidi="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9" w:hRule="atLeast"/>
        </w:trPr>
        <w:tc>
          <w:tcPr>
            <w:tcW w:w="497" w:type="pct"/>
            <w:vMerge w:val="continue"/>
            <w:vAlign w:val="center"/>
          </w:tcPr>
          <w:p>
            <w:pPr>
              <w:widowControl/>
              <w:jc w:val="left"/>
              <w:rPr>
                <w:rFonts w:ascii="仿宋" w:hAnsi="仿宋" w:eastAsia="仿宋" w:cs="仿宋"/>
                <w:kern w:val="0"/>
                <w:sz w:val="24"/>
                <w:lang w:val="zh-CN" w:bidi="zh-CN"/>
              </w:rPr>
            </w:pPr>
          </w:p>
        </w:tc>
        <w:tc>
          <w:tcPr>
            <w:tcW w:w="2031" w:type="pct"/>
            <w:tcMar>
              <w:top w:w="0" w:type="dxa"/>
              <w:left w:w="28" w:type="dxa"/>
              <w:bottom w:w="0" w:type="dxa"/>
              <w:right w:w="28" w:type="dxa"/>
            </w:tcMar>
            <w:vAlign w:val="center"/>
          </w:tcPr>
          <w:p>
            <w:pPr>
              <w:widowControl/>
              <w:spacing w:before="100" w:beforeAutospacing="1" w:after="100" w:afterAutospacing="1"/>
              <w:jc w:val="left"/>
              <w:rPr>
                <w:rFonts w:ascii="仿宋" w:hAnsi="仿宋" w:eastAsia="仿宋" w:cs="仿宋"/>
                <w:kern w:val="0"/>
                <w:sz w:val="24"/>
                <w:lang w:val="zh-CN" w:bidi="zh-CN"/>
              </w:rPr>
            </w:pPr>
            <w:r>
              <w:rPr>
                <w:rFonts w:hint="eastAsia" w:ascii="仿宋" w:hAnsi="仿宋" w:eastAsia="仿宋" w:cs="仿宋"/>
                <w:kern w:val="0"/>
                <w:sz w:val="24"/>
                <w:lang w:val="zh-CN" w:bidi="zh-CN"/>
              </w:rPr>
              <w:t>PM2.5年均浓度比例下降（%）</w:t>
            </w:r>
          </w:p>
        </w:tc>
        <w:tc>
          <w:tcPr>
            <w:tcW w:w="1049" w:type="pct"/>
            <w:tcMar>
              <w:top w:w="0" w:type="dxa"/>
              <w:left w:w="28" w:type="dxa"/>
              <w:bottom w:w="0" w:type="dxa"/>
              <w:right w:w="28" w:type="dxa"/>
            </w:tcMar>
            <w:vAlign w:val="center"/>
          </w:tcPr>
          <w:p>
            <w:pPr>
              <w:jc w:val="center"/>
              <w:rPr>
                <w:rFonts w:ascii="仿宋" w:hAnsi="仿宋" w:eastAsia="仿宋" w:cs="仿宋"/>
                <w:kern w:val="0"/>
                <w:sz w:val="24"/>
                <w:lang w:val="zh-CN" w:bidi="zh-CN"/>
              </w:rPr>
            </w:pPr>
            <w:r>
              <w:rPr>
                <w:rFonts w:hint="eastAsia" w:ascii="仿宋" w:hAnsi="仿宋" w:eastAsia="仿宋" w:cs="仿宋"/>
                <w:kern w:val="0"/>
                <w:sz w:val="24"/>
                <w:lang w:val="zh-CN" w:bidi="zh-CN"/>
              </w:rPr>
              <w:t>≥20%</w:t>
            </w:r>
          </w:p>
          <w:p>
            <w:pPr>
              <w:widowControl/>
              <w:jc w:val="center"/>
              <w:rPr>
                <w:rFonts w:ascii="仿宋" w:hAnsi="仿宋" w:eastAsia="仿宋" w:cs="仿宋"/>
                <w:kern w:val="0"/>
                <w:sz w:val="24"/>
                <w:lang w:val="zh-CN" w:bidi="zh-CN"/>
              </w:rPr>
            </w:pPr>
            <w:r>
              <w:rPr>
                <w:rFonts w:hint="eastAsia" w:ascii="仿宋" w:hAnsi="仿宋" w:eastAsia="仿宋" w:cs="仿宋"/>
                <w:kern w:val="0"/>
                <w:sz w:val="24"/>
                <w:lang w:val="zh-CN" w:bidi="zh-CN"/>
              </w:rPr>
              <w:t>（五年累计数）</w:t>
            </w:r>
          </w:p>
        </w:tc>
        <w:tc>
          <w:tcPr>
            <w:tcW w:w="893" w:type="pct"/>
            <w:tcMar>
              <w:top w:w="0" w:type="dxa"/>
              <w:left w:w="28" w:type="dxa"/>
              <w:bottom w:w="0" w:type="dxa"/>
              <w:right w:w="28" w:type="dxa"/>
            </w:tcMar>
            <w:vAlign w:val="center"/>
          </w:tcPr>
          <w:p>
            <w:pPr>
              <w:widowControl/>
              <w:jc w:val="center"/>
              <w:rPr>
                <w:rFonts w:ascii="仿宋" w:hAnsi="仿宋" w:eastAsia="仿宋" w:cs="仿宋"/>
                <w:kern w:val="0"/>
                <w:sz w:val="24"/>
                <w:lang w:val="zh-CN" w:bidi="zh-CN"/>
              </w:rPr>
            </w:pPr>
            <w:r>
              <w:rPr>
                <w:rFonts w:hint="eastAsia" w:ascii="仿宋" w:hAnsi="仿宋" w:eastAsia="仿宋" w:cs="仿宋"/>
                <w:kern w:val="0"/>
                <w:sz w:val="24"/>
                <w:lang w:val="zh-CN" w:bidi="zh-CN"/>
              </w:rPr>
              <w:t>3</w:t>
            </w:r>
            <w:r>
              <w:rPr>
                <w:rFonts w:ascii="仿宋" w:hAnsi="仿宋" w:eastAsia="仿宋" w:cs="仿宋"/>
                <w:kern w:val="0"/>
                <w:sz w:val="24"/>
                <w:lang w:val="zh-CN" w:bidi="zh-CN"/>
              </w:rPr>
              <w:t>6</w:t>
            </w:r>
          </w:p>
        </w:tc>
        <w:tc>
          <w:tcPr>
            <w:tcW w:w="530" w:type="pct"/>
            <w:vMerge w:val="continue"/>
            <w:vAlign w:val="center"/>
          </w:tcPr>
          <w:p>
            <w:pPr>
              <w:widowControl/>
              <w:jc w:val="left"/>
              <w:rPr>
                <w:rFonts w:ascii="仿宋" w:hAnsi="仿宋" w:eastAsia="仿宋" w:cs="仿宋"/>
                <w:kern w:val="0"/>
                <w:sz w:val="24"/>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497" w:type="pct"/>
            <w:vMerge w:val="continue"/>
            <w:vAlign w:val="center"/>
          </w:tcPr>
          <w:p>
            <w:pPr>
              <w:widowControl/>
              <w:jc w:val="left"/>
              <w:rPr>
                <w:rFonts w:ascii="仿宋" w:hAnsi="仿宋" w:eastAsia="仿宋" w:cs="仿宋"/>
                <w:kern w:val="0"/>
                <w:sz w:val="24"/>
                <w:lang w:val="zh-CN" w:bidi="zh-CN"/>
              </w:rPr>
            </w:pPr>
          </w:p>
        </w:tc>
        <w:tc>
          <w:tcPr>
            <w:tcW w:w="2031" w:type="pct"/>
            <w:tcMar>
              <w:top w:w="0" w:type="dxa"/>
              <w:left w:w="28" w:type="dxa"/>
              <w:bottom w:w="0" w:type="dxa"/>
              <w:right w:w="28" w:type="dxa"/>
            </w:tcMar>
            <w:vAlign w:val="center"/>
          </w:tcPr>
          <w:p>
            <w:pPr>
              <w:widowControl/>
              <w:spacing w:before="100" w:beforeAutospacing="1" w:after="100" w:afterAutospacing="1"/>
              <w:rPr>
                <w:rFonts w:ascii="仿宋" w:hAnsi="仿宋" w:eastAsia="仿宋" w:cs="仿宋"/>
                <w:kern w:val="0"/>
                <w:sz w:val="24"/>
                <w:lang w:val="zh-CN" w:bidi="zh-CN"/>
              </w:rPr>
            </w:pPr>
            <w:r>
              <w:rPr>
                <w:rFonts w:hint="eastAsia" w:ascii="仿宋" w:hAnsi="仿宋" w:eastAsia="仿宋" w:cs="仿宋"/>
                <w:kern w:val="0"/>
                <w:sz w:val="24"/>
                <w:lang w:val="zh-CN" w:bidi="zh-CN"/>
              </w:rPr>
              <w:t>重度及以上污染天数比例下降（%）</w:t>
            </w:r>
          </w:p>
        </w:tc>
        <w:tc>
          <w:tcPr>
            <w:tcW w:w="1049" w:type="pct"/>
            <w:tcMar>
              <w:top w:w="0" w:type="dxa"/>
              <w:left w:w="28" w:type="dxa"/>
              <w:bottom w:w="0" w:type="dxa"/>
              <w:right w:w="28" w:type="dxa"/>
            </w:tcMar>
            <w:vAlign w:val="center"/>
          </w:tcPr>
          <w:p>
            <w:pPr>
              <w:jc w:val="center"/>
              <w:rPr>
                <w:rFonts w:ascii="仿宋" w:hAnsi="仿宋" w:eastAsia="仿宋" w:cs="仿宋"/>
                <w:kern w:val="0"/>
                <w:sz w:val="24"/>
                <w:lang w:val="zh-CN" w:bidi="zh-CN"/>
              </w:rPr>
            </w:pPr>
            <w:r>
              <w:rPr>
                <w:rFonts w:hint="eastAsia" w:ascii="仿宋" w:hAnsi="仿宋" w:eastAsia="仿宋" w:cs="仿宋"/>
                <w:kern w:val="0"/>
                <w:sz w:val="24"/>
                <w:lang w:val="zh-CN" w:bidi="zh-CN"/>
              </w:rPr>
              <w:t>25%</w:t>
            </w:r>
          </w:p>
          <w:p>
            <w:pPr>
              <w:widowControl/>
              <w:jc w:val="center"/>
              <w:rPr>
                <w:rFonts w:ascii="仿宋" w:hAnsi="仿宋" w:eastAsia="仿宋" w:cs="仿宋"/>
                <w:kern w:val="0"/>
                <w:sz w:val="24"/>
                <w:lang w:val="zh-CN" w:bidi="zh-CN"/>
              </w:rPr>
            </w:pPr>
            <w:r>
              <w:rPr>
                <w:rFonts w:hint="eastAsia" w:ascii="仿宋" w:hAnsi="仿宋" w:eastAsia="仿宋" w:cs="仿宋"/>
                <w:kern w:val="0"/>
                <w:sz w:val="24"/>
                <w:lang w:val="zh-CN" w:bidi="zh-CN"/>
              </w:rPr>
              <w:t>（五年累计数）</w:t>
            </w:r>
          </w:p>
        </w:tc>
        <w:tc>
          <w:tcPr>
            <w:tcW w:w="893" w:type="pct"/>
            <w:tcMar>
              <w:top w:w="0" w:type="dxa"/>
              <w:left w:w="28" w:type="dxa"/>
              <w:bottom w:w="0" w:type="dxa"/>
              <w:right w:w="28" w:type="dxa"/>
            </w:tcMar>
            <w:vAlign w:val="center"/>
          </w:tcPr>
          <w:p>
            <w:pPr>
              <w:widowControl/>
              <w:jc w:val="center"/>
              <w:rPr>
                <w:rFonts w:ascii="仿宋" w:hAnsi="仿宋" w:eastAsia="仿宋" w:cs="仿宋"/>
                <w:kern w:val="0"/>
                <w:sz w:val="24"/>
                <w:lang w:val="zh-CN" w:bidi="zh-CN"/>
              </w:rPr>
            </w:pPr>
            <w:r>
              <w:rPr>
                <w:rFonts w:hint="eastAsia" w:ascii="仿宋" w:hAnsi="仿宋" w:eastAsia="仿宋" w:cs="仿宋"/>
                <w:kern w:val="0"/>
                <w:sz w:val="24"/>
                <w:lang w:val="zh-CN" w:bidi="zh-CN"/>
              </w:rPr>
              <w:t>4</w:t>
            </w:r>
            <w:r>
              <w:rPr>
                <w:rFonts w:ascii="仿宋" w:hAnsi="仿宋" w:eastAsia="仿宋" w:cs="仿宋"/>
                <w:kern w:val="0"/>
                <w:sz w:val="24"/>
                <w:lang w:val="zh-CN" w:bidi="zh-CN"/>
              </w:rPr>
              <w:t>6</w:t>
            </w:r>
          </w:p>
        </w:tc>
        <w:tc>
          <w:tcPr>
            <w:tcW w:w="530" w:type="pct"/>
            <w:tcMar>
              <w:top w:w="0" w:type="dxa"/>
              <w:left w:w="28" w:type="dxa"/>
              <w:bottom w:w="0" w:type="dxa"/>
              <w:right w:w="28" w:type="dxa"/>
            </w:tcMar>
            <w:vAlign w:val="center"/>
          </w:tcPr>
          <w:p>
            <w:pPr>
              <w:widowControl/>
              <w:spacing w:before="100" w:beforeAutospacing="1" w:after="100" w:afterAutospacing="1"/>
              <w:jc w:val="center"/>
              <w:rPr>
                <w:rFonts w:ascii="仿宋" w:hAnsi="仿宋" w:eastAsia="仿宋" w:cs="仿宋"/>
                <w:kern w:val="0"/>
                <w:sz w:val="24"/>
                <w:lang w:val="zh-CN" w:bidi="zh-CN"/>
              </w:rPr>
            </w:pPr>
            <w:r>
              <w:rPr>
                <w:rFonts w:hint="eastAsia" w:ascii="仿宋" w:hAnsi="仿宋" w:eastAsia="仿宋" w:cs="仿宋"/>
                <w:kern w:val="0"/>
                <w:sz w:val="24"/>
                <w:lang w:val="zh-CN" w:bidi="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497" w:type="pct"/>
            <w:vMerge w:val="restart"/>
            <w:tcMar>
              <w:top w:w="0" w:type="dxa"/>
              <w:left w:w="28" w:type="dxa"/>
              <w:bottom w:w="0" w:type="dxa"/>
              <w:right w:w="28" w:type="dxa"/>
            </w:tcMar>
            <w:vAlign w:val="center"/>
          </w:tcPr>
          <w:p>
            <w:pPr>
              <w:widowControl/>
              <w:spacing w:before="100" w:beforeAutospacing="1" w:after="100" w:afterAutospacing="1"/>
              <w:rPr>
                <w:rFonts w:ascii="仿宋" w:hAnsi="仿宋" w:eastAsia="仿宋" w:cs="仿宋"/>
                <w:kern w:val="0"/>
                <w:sz w:val="24"/>
                <w:lang w:val="zh-CN" w:bidi="zh-CN"/>
              </w:rPr>
            </w:pPr>
            <w:r>
              <w:rPr>
                <w:rFonts w:hint="eastAsia" w:ascii="仿宋" w:hAnsi="仿宋" w:eastAsia="仿宋" w:cs="仿宋"/>
                <w:kern w:val="0"/>
                <w:sz w:val="24"/>
                <w:lang w:val="zh-CN" w:bidi="zh-CN"/>
              </w:rPr>
              <w:t>污染物排放总量</w:t>
            </w:r>
          </w:p>
        </w:tc>
        <w:tc>
          <w:tcPr>
            <w:tcW w:w="2031" w:type="pct"/>
            <w:tcMar>
              <w:top w:w="0" w:type="dxa"/>
              <w:left w:w="28" w:type="dxa"/>
              <w:bottom w:w="0" w:type="dxa"/>
              <w:right w:w="28" w:type="dxa"/>
            </w:tcMar>
            <w:vAlign w:val="center"/>
          </w:tcPr>
          <w:p>
            <w:pPr>
              <w:widowControl/>
              <w:spacing w:before="100" w:beforeAutospacing="1" w:after="100" w:afterAutospacing="1"/>
              <w:jc w:val="left"/>
              <w:rPr>
                <w:rFonts w:ascii="仿宋" w:hAnsi="仿宋" w:eastAsia="仿宋" w:cs="仿宋"/>
                <w:kern w:val="0"/>
                <w:sz w:val="24"/>
                <w:lang w:val="zh-CN" w:bidi="zh-CN"/>
              </w:rPr>
            </w:pPr>
            <w:r>
              <w:rPr>
                <w:rFonts w:hint="eastAsia" w:ascii="仿宋" w:hAnsi="仿宋" w:eastAsia="仿宋" w:cs="仿宋"/>
                <w:kern w:val="0"/>
                <w:sz w:val="24"/>
                <w:lang w:val="zh-CN" w:bidi="zh-CN"/>
              </w:rPr>
              <w:t>二氧化硫下降比例（%）</w:t>
            </w:r>
          </w:p>
        </w:tc>
        <w:tc>
          <w:tcPr>
            <w:tcW w:w="1049" w:type="pct"/>
            <w:tcMar>
              <w:top w:w="0" w:type="dxa"/>
              <w:left w:w="28" w:type="dxa"/>
              <w:bottom w:w="0" w:type="dxa"/>
              <w:right w:w="28" w:type="dxa"/>
            </w:tcMar>
            <w:vAlign w:val="center"/>
          </w:tcPr>
          <w:p>
            <w:pPr>
              <w:widowControl/>
              <w:spacing w:before="100" w:beforeAutospacing="1" w:after="100" w:afterAutospacing="1"/>
              <w:jc w:val="center"/>
              <w:rPr>
                <w:rFonts w:ascii="仿宋" w:hAnsi="仿宋" w:eastAsia="仿宋" w:cs="仿宋"/>
                <w:kern w:val="0"/>
                <w:sz w:val="24"/>
                <w:lang w:val="zh-CN" w:bidi="zh-CN"/>
              </w:rPr>
            </w:pPr>
            <w:r>
              <w:rPr>
                <w:rFonts w:hint="eastAsia" w:ascii="仿宋" w:hAnsi="仿宋" w:eastAsia="仿宋" w:cs="仿宋"/>
                <w:kern w:val="0"/>
                <w:sz w:val="24"/>
                <w:lang w:val="zh-CN" w:bidi="zh-CN"/>
              </w:rPr>
              <w:t>15%（五年累计数）</w:t>
            </w:r>
          </w:p>
        </w:tc>
        <w:tc>
          <w:tcPr>
            <w:tcW w:w="893" w:type="pct"/>
            <w:tcMar>
              <w:top w:w="0" w:type="dxa"/>
              <w:left w:w="28" w:type="dxa"/>
              <w:bottom w:w="0" w:type="dxa"/>
              <w:right w:w="28" w:type="dxa"/>
            </w:tcMar>
            <w:vAlign w:val="center"/>
          </w:tcPr>
          <w:p>
            <w:pPr>
              <w:widowControl/>
              <w:spacing w:before="100" w:beforeAutospacing="1" w:after="100" w:afterAutospacing="1"/>
              <w:jc w:val="center"/>
              <w:rPr>
                <w:rFonts w:ascii="仿宋" w:hAnsi="仿宋" w:eastAsia="仿宋" w:cs="仿宋"/>
                <w:kern w:val="0"/>
                <w:sz w:val="24"/>
                <w:lang w:val="zh-CN" w:bidi="zh-CN"/>
              </w:rPr>
            </w:pPr>
            <w:r>
              <w:rPr>
                <w:rFonts w:hint="eastAsia" w:ascii="仿宋" w:hAnsi="仿宋" w:eastAsia="仿宋" w:cs="仿宋"/>
                <w:kern w:val="0"/>
                <w:sz w:val="24"/>
                <w:lang w:val="zh-CN" w:bidi="zh-CN"/>
              </w:rPr>
              <w:t>2</w:t>
            </w:r>
            <w:r>
              <w:rPr>
                <w:rFonts w:ascii="仿宋" w:hAnsi="仿宋" w:eastAsia="仿宋" w:cs="仿宋"/>
                <w:kern w:val="0"/>
                <w:sz w:val="24"/>
                <w:lang w:val="zh-CN" w:bidi="zh-CN"/>
              </w:rPr>
              <w:t>1.42</w:t>
            </w:r>
          </w:p>
        </w:tc>
        <w:tc>
          <w:tcPr>
            <w:tcW w:w="530" w:type="pct"/>
            <w:vMerge w:val="restart"/>
            <w:tcMar>
              <w:top w:w="0" w:type="dxa"/>
              <w:left w:w="28" w:type="dxa"/>
              <w:bottom w:w="0" w:type="dxa"/>
              <w:right w:w="28" w:type="dxa"/>
            </w:tcMar>
            <w:vAlign w:val="center"/>
          </w:tcPr>
          <w:p>
            <w:pPr>
              <w:widowControl/>
              <w:spacing w:before="100" w:beforeAutospacing="1" w:after="100" w:afterAutospacing="1"/>
              <w:jc w:val="center"/>
              <w:rPr>
                <w:rFonts w:ascii="仿宋" w:hAnsi="仿宋" w:eastAsia="仿宋" w:cs="仿宋"/>
                <w:kern w:val="0"/>
                <w:sz w:val="24"/>
                <w:lang w:val="zh-CN" w:bidi="zh-CN"/>
              </w:rPr>
            </w:pPr>
            <w:r>
              <w:rPr>
                <w:rFonts w:hint="eastAsia" w:ascii="仿宋" w:hAnsi="仿宋" w:eastAsia="仿宋" w:cs="仿宋"/>
                <w:kern w:val="0"/>
                <w:sz w:val="24"/>
                <w:lang w:val="zh-CN" w:bidi="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9" w:hRule="atLeast"/>
        </w:trPr>
        <w:tc>
          <w:tcPr>
            <w:tcW w:w="497" w:type="pct"/>
            <w:vMerge w:val="continue"/>
            <w:vAlign w:val="center"/>
          </w:tcPr>
          <w:p>
            <w:pPr>
              <w:widowControl/>
              <w:jc w:val="left"/>
              <w:rPr>
                <w:rFonts w:ascii="仿宋" w:hAnsi="仿宋" w:eastAsia="仿宋" w:cs="仿宋"/>
                <w:kern w:val="0"/>
                <w:sz w:val="24"/>
                <w:lang w:val="zh-CN" w:bidi="zh-CN"/>
              </w:rPr>
            </w:pPr>
          </w:p>
        </w:tc>
        <w:tc>
          <w:tcPr>
            <w:tcW w:w="2031" w:type="pct"/>
            <w:tcMar>
              <w:top w:w="0" w:type="dxa"/>
              <w:left w:w="28" w:type="dxa"/>
              <w:bottom w:w="0" w:type="dxa"/>
              <w:right w:w="28" w:type="dxa"/>
            </w:tcMar>
            <w:vAlign w:val="center"/>
          </w:tcPr>
          <w:p>
            <w:pPr>
              <w:widowControl/>
              <w:spacing w:before="100" w:beforeAutospacing="1" w:after="100" w:afterAutospacing="1"/>
              <w:jc w:val="left"/>
              <w:rPr>
                <w:rFonts w:ascii="仿宋" w:hAnsi="仿宋" w:eastAsia="仿宋" w:cs="仿宋"/>
                <w:kern w:val="0"/>
                <w:sz w:val="24"/>
                <w:lang w:val="zh-CN" w:bidi="zh-CN"/>
              </w:rPr>
            </w:pPr>
            <w:r>
              <w:rPr>
                <w:rFonts w:hint="eastAsia" w:ascii="仿宋" w:hAnsi="仿宋" w:eastAsia="仿宋" w:cs="仿宋"/>
                <w:kern w:val="0"/>
                <w:sz w:val="24"/>
                <w:lang w:val="zh-CN" w:bidi="zh-CN"/>
              </w:rPr>
              <w:t>氮氧化物下降比例（%）</w:t>
            </w:r>
          </w:p>
        </w:tc>
        <w:tc>
          <w:tcPr>
            <w:tcW w:w="1049" w:type="pct"/>
            <w:tcMar>
              <w:top w:w="0" w:type="dxa"/>
              <w:left w:w="28" w:type="dxa"/>
              <w:bottom w:w="0" w:type="dxa"/>
              <w:right w:w="28" w:type="dxa"/>
            </w:tcMar>
            <w:vAlign w:val="center"/>
          </w:tcPr>
          <w:p>
            <w:pPr>
              <w:widowControl/>
              <w:spacing w:before="100" w:beforeAutospacing="1" w:after="100" w:afterAutospacing="1"/>
              <w:jc w:val="center"/>
              <w:rPr>
                <w:rFonts w:ascii="仿宋" w:hAnsi="仿宋" w:eastAsia="仿宋" w:cs="仿宋"/>
                <w:kern w:val="0"/>
                <w:sz w:val="24"/>
                <w:lang w:val="zh-CN" w:bidi="zh-CN"/>
              </w:rPr>
            </w:pPr>
            <w:r>
              <w:rPr>
                <w:rFonts w:hint="eastAsia" w:ascii="仿宋" w:hAnsi="仿宋" w:eastAsia="仿宋" w:cs="仿宋"/>
                <w:kern w:val="0"/>
                <w:sz w:val="24"/>
                <w:lang w:val="zh-CN" w:bidi="zh-CN"/>
              </w:rPr>
              <w:t>15%（五年累计数）</w:t>
            </w:r>
          </w:p>
        </w:tc>
        <w:tc>
          <w:tcPr>
            <w:tcW w:w="893" w:type="pct"/>
            <w:tcMar>
              <w:top w:w="0" w:type="dxa"/>
              <w:left w:w="28" w:type="dxa"/>
              <w:bottom w:w="0" w:type="dxa"/>
              <w:right w:w="28" w:type="dxa"/>
            </w:tcMar>
            <w:vAlign w:val="center"/>
          </w:tcPr>
          <w:p>
            <w:pPr>
              <w:widowControl/>
              <w:spacing w:before="100" w:beforeAutospacing="1" w:after="100" w:afterAutospacing="1"/>
              <w:jc w:val="center"/>
              <w:rPr>
                <w:rFonts w:ascii="仿宋" w:hAnsi="仿宋" w:eastAsia="仿宋" w:cs="仿宋"/>
                <w:kern w:val="0"/>
                <w:sz w:val="24"/>
                <w:lang w:val="zh-CN" w:bidi="zh-CN"/>
              </w:rPr>
            </w:pPr>
            <w:r>
              <w:rPr>
                <w:rFonts w:hint="eastAsia" w:ascii="仿宋" w:hAnsi="仿宋" w:eastAsia="仿宋" w:cs="仿宋"/>
                <w:kern w:val="0"/>
                <w:sz w:val="24"/>
                <w:lang w:val="zh-CN" w:bidi="zh-CN"/>
              </w:rPr>
              <w:t>2</w:t>
            </w:r>
            <w:r>
              <w:rPr>
                <w:rFonts w:ascii="仿宋" w:hAnsi="仿宋" w:eastAsia="仿宋" w:cs="仿宋"/>
                <w:kern w:val="0"/>
                <w:sz w:val="24"/>
                <w:lang w:val="zh-CN" w:bidi="zh-CN"/>
              </w:rPr>
              <w:t>0.86</w:t>
            </w:r>
          </w:p>
        </w:tc>
        <w:tc>
          <w:tcPr>
            <w:tcW w:w="530" w:type="pct"/>
            <w:vMerge w:val="continue"/>
            <w:vAlign w:val="center"/>
          </w:tcPr>
          <w:p>
            <w:pPr>
              <w:widowControl/>
              <w:jc w:val="left"/>
              <w:rPr>
                <w:rFonts w:ascii="仿宋" w:hAnsi="仿宋" w:eastAsia="仿宋" w:cs="宋体"/>
                <w:kern w:val="0"/>
                <w:sz w:val="24"/>
              </w:rPr>
            </w:pPr>
          </w:p>
        </w:tc>
      </w:tr>
    </w:tbl>
    <w:p>
      <w:pPr>
        <w:pStyle w:val="7"/>
      </w:pPr>
      <w:r>
        <w:rPr>
          <w:rFonts w:hint="eastAsia"/>
        </w:rPr>
        <w:t>由上述统计数据可知，截止2020年底，我市“十三五”环境保护主要指标皆已达标完成。</w:t>
      </w:r>
    </w:p>
    <w:p>
      <w:pPr>
        <w:pStyle w:val="4"/>
        <w:ind w:left="420" w:leftChars="200" w:firstLine="0" w:firstLineChars="0"/>
        <w:rPr>
          <w:rStyle w:val="20"/>
          <w:b/>
          <w:bCs/>
        </w:rPr>
      </w:pPr>
      <w:bookmarkStart w:id="5" w:name="_Toc20461"/>
      <w:r>
        <w:rPr>
          <w:rFonts w:hint="eastAsia"/>
        </w:rPr>
        <w:t>1、</w:t>
      </w:r>
      <w:r>
        <w:fldChar w:fldCharType="begin"/>
      </w:r>
      <w:r>
        <w:instrText xml:space="preserve"> HYPERLINK \l "_Toc17179" </w:instrText>
      </w:r>
      <w:r>
        <w:fldChar w:fldCharType="separate"/>
      </w:r>
      <w:r>
        <w:rPr>
          <w:rStyle w:val="20"/>
          <w:rFonts w:hint="eastAsia"/>
          <w:b/>
          <w:bCs/>
        </w:rPr>
        <w:t>大气环境质量持续改善</w:t>
      </w:r>
      <w:r>
        <w:rPr>
          <w:rStyle w:val="20"/>
          <w:rFonts w:hint="eastAsia"/>
          <w:b/>
          <w:bCs/>
        </w:rPr>
        <w:fldChar w:fldCharType="end"/>
      </w:r>
      <w:bookmarkEnd w:id="5"/>
    </w:p>
    <w:p>
      <w:pPr>
        <w:pStyle w:val="5"/>
        <w:ind w:firstLine="560"/>
        <w:rPr>
          <w:rFonts w:ascii="仿宋" w:hAnsi="仿宋"/>
        </w:rPr>
      </w:pPr>
      <w:bookmarkStart w:id="6" w:name="_Hlk58158914"/>
      <w:r>
        <w:rPr>
          <w:rFonts w:hint="eastAsia" w:ascii="仿宋" w:hAnsi="仿宋"/>
        </w:rPr>
        <w:t>截至</w:t>
      </w:r>
      <w:r>
        <w:rPr>
          <w:rFonts w:ascii="仿宋" w:hAnsi="仿宋"/>
        </w:rPr>
        <w:t>2020</w:t>
      </w:r>
      <w:r>
        <w:rPr>
          <w:rFonts w:hint="eastAsia" w:ascii="仿宋" w:hAnsi="仿宋"/>
        </w:rPr>
        <w:t>年</w:t>
      </w:r>
      <w:r>
        <w:rPr>
          <w:rFonts w:ascii="仿宋" w:hAnsi="仿宋"/>
        </w:rPr>
        <w:t>12</w:t>
      </w:r>
      <w:r>
        <w:rPr>
          <w:rFonts w:hint="eastAsia" w:ascii="仿宋" w:hAnsi="仿宋"/>
        </w:rPr>
        <w:t>月3</w:t>
      </w:r>
      <w:r>
        <w:rPr>
          <w:rFonts w:ascii="仿宋" w:hAnsi="仿宋"/>
        </w:rPr>
        <w:t>1</w:t>
      </w:r>
      <w:r>
        <w:rPr>
          <w:rFonts w:hint="eastAsia" w:ascii="仿宋" w:hAnsi="仿宋"/>
        </w:rPr>
        <w:t>日，我市空气质量优良天数</w:t>
      </w:r>
      <w:r>
        <w:rPr>
          <w:rFonts w:ascii="仿宋" w:hAnsi="仿宋"/>
        </w:rPr>
        <w:t>305</w:t>
      </w:r>
      <w:r>
        <w:rPr>
          <w:rFonts w:hint="eastAsia" w:ascii="仿宋" w:hAnsi="仿宋"/>
        </w:rPr>
        <w:t>天，优良率达</w:t>
      </w:r>
      <w:r>
        <w:rPr>
          <w:rFonts w:ascii="仿宋" w:hAnsi="仿宋"/>
        </w:rPr>
        <w:t>83%</w:t>
      </w:r>
      <w:r>
        <w:rPr>
          <w:rFonts w:hint="eastAsia" w:ascii="仿宋" w:hAnsi="仿宋"/>
        </w:rPr>
        <w:t>，相比</w:t>
      </w:r>
      <w:r>
        <w:rPr>
          <w:rFonts w:ascii="仿宋" w:hAnsi="仿宋"/>
        </w:rPr>
        <w:t>201</w:t>
      </w:r>
      <w:r>
        <w:rPr>
          <w:rFonts w:hint="eastAsia" w:ascii="仿宋" w:hAnsi="仿宋"/>
        </w:rPr>
        <w:t>5年上升1</w:t>
      </w:r>
      <w:r>
        <w:rPr>
          <w:rFonts w:ascii="仿宋" w:hAnsi="仿宋"/>
        </w:rPr>
        <w:t>7</w:t>
      </w:r>
      <w:r>
        <w:rPr>
          <w:rFonts w:hint="eastAsia" w:ascii="仿宋" w:hAnsi="仿宋"/>
        </w:rPr>
        <w:t>%；重度污染以上天气</w:t>
      </w:r>
      <w:r>
        <w:rPr>
          <w:rFonts w:ascii="仿宋" w:hAnsi="仿宋"/>
        </w:rPr>
        <w:t>15</w:t>
      </w:r>
      <w:r>
        <w:rPr>
          <w:rFonts w:hint="eastAsia" w:ascii="仿宋" w:hAnsi="仿宋"/>
        </w:rPr>
        <w:t>天，较</w:t>
      </w:r>
      <w:r>
        <w:rPr>
          <w:rFonts w:ascii="仿宋" w:hAnsi="仿宋"/>
        </w:rPr>
        <w:t>2015</w:t>
      </w:r>
      <w:r>
        <w:rPr>
          <w:rFonts w:hint="eastAsia" w:ascii="仿宋" w:hAnsi="仿宋"/>
        </w:rPr>
        <w:t>年下降</w:t>
      </w:r>
      <w:r>
        <w:rPr>
          <w:rFonts w:ascii="仿宋" w:hAnsi="仿宋"/>
        </w:rPr>
        <w:t>46%</w:t>
      </w:r>
      <w:r>
        <w:rPr>
          <w:rFonts w:hint="eastAsia" w:ascii="仿宋" w:hAnsi="仿宋"/>
        </w:rPr>
        <w:t>，</w:t>
      </w:r>
      <w:r>
        <w:rPr>
          <w:rFonts w:ascii="仿宋" w:hAnsi="仿宋"/>
        </w:rPr>
        <w:t>超额完成十三五规划中重污染天数下降比例25%的要求</w:t>
      </w:r>
      <w:r>
        <w:rPr>
          <w:rFonts w:hint="eastAsia" w:ascii="仿宋" w:hAnsi="仿宋"/>
        </w:rPr>
        <w:t>；空气质量综合指数为</w:t>
      </w:r>
      <w:r>
        <w:rPr>
          <w:rFonts w:ascii="仿宋" w:hAnsi="仿宋"/>
        </w:rPr>
        <w:t>4.12</w:t>
      </w:r>
      <w:r>
        <w:rPr>
          <w:rFonts w:hint="eastAsia" w:ascii="仿宋" w:hAnsi="仿宋"/>
        </w:rPr>
        <w:t>，较</w:t>
      </w:r>
      <w:r>
        <w:rPr>
          <w:rFonts w:ascii="仿宋" w:hAnsi="仿宋"/>
        </w:rPr>
        <w:t>2015</w:t>
      </w:r>
      <w:r>
        <w:rPr>
          <w:rFonts w:hint="eastAsia" w:ascii="仿宋" w:hAnsi="仿宋"/>
        </w:rPr>
        <w:t>年的6.53下降2.3</w:t>
      </w:r>
      <w:r>
        <w:rPr>
          <w:rFonts w:ascii="仿宋" w:hAnsi="仿宋"/>
        </w:rPr>
        <w:t>1</w:t>
      </w:r>
      <w:r>
        <w:rPr>
          <w:rFonts w:hint="eastAsia" w:ascii="仿宋" w:hAnsi="仿宋"/>
        </w:rPr>
        <w:t>。</w:t>
      </w:r>
      <w:r>
        <w:rPr>
          <w:rFonts w:ascii="仿宋" w:hAnsi="仿宋"/>
        </w:rPr>
        <w:t>PM</w:t>
      </w:r>
      <w:r>
        <w:rPr>
          <w:rFonts w:ascii="仿宋" w:hAnsi="仿宋"/>
          <w:vertAlign w:val="subscript"/>
        </w:rPr>
        <w:t>2.5</w:t>
      </w:r>
      <w:r>
        <w:rPr>
          <w:rFonts w:hint="eastAsia" w:ascii="仿宋" w:hAnsi="仿宋"/>
        </w:rPr>
        <w:t>平均浓度、</w:t>
      </w:r>
      <w:r>
        <w:rPr>
          <w:rFonts w:ascii="仿宋" w:hAnsi="仿宋"/>
        </w:rPr>
        <w:t>二氧化硫、氮氧化物等主要污染物排放量</w:t>
      </w:r>
      <w:r>
        <w:rPr>
          <w:rFonts w:hint="eastAsia" w:ascii="仿宋" w:hAnsi="仿宋"/>
        </w:rPr>
        <w:t>指标，均已超额完成国家“十三五”考核要求。</w:t>
      </w:r>
    </w:p>
    <w:bookmarkEnd w:id="6"/>
    <w:p>
      <w:pPr>
        <w:pStyle w:val="4"/>
        <w:ind w:firstLine="762" w:firstLineChars="271"/>
        <w:rPr>
          <w:rStyle w:val="20"/>
          <w:b/>
          <w:bCs/>
        </w:rPr>
      </w:pPr>
      <w:bookmarkStart w:id="7" w:name="_Toc29943"/>
      <w:r>
        <w:t>2、</w:t>
      </w:r>
      <w:r>
        <w:fldChar w:fldCharType="begin"/>
      </w:r>
      <w:r>
        <w:instrText xml:space="preserve"> HYPERLINK \l "_Toc5481" </w:instrText>
      </w:r>
      <w:r>
        <w:fldChar w:fldCharType="separate"/>
      </w:r>
      <w:r>
        <w:rPr>
          <w:rStyle w:val="20"/>
          <w:rFonts w:hint="eastAsia"/>
          <w:b/>
          <w:bCs/>
        </w:rPr>
        <w:t>污染减排任务顺利完成</w:t>
      </w:r>
      <w:r>
        <w:rPr>
          <w:rStyle w:val="20"/>
          <w:rFonts w:hint="eastAsia"/>
          <w:b/>
          <w:bCs/>
        </w:rPr>
        <w:fldChar w:fldCharType="end"/>
      </w:r>
      <w:bookmarkEnd w:id="7"/>
    </w:p>
    <w:p>
      <w:pPr>
        <w:pStyle w:val="5"/>
        <w:ind w:firstLine="560"/>
        <w:rPr>
          <w:rFonts w:ascii="仿宋" w:hAnsi="仿宋"/>
        </w:rPr>
      </w:pPr>
      <w:r>
        <w:rPr>
          <w:rFonts w:hint="eastAsia" w:ascii="仿宋" w:hAnsi="仿宋"/>
        </w:rPr>
        <w:t>“十三五”期间，市政府高度重视主要污染物减排，层层落实责任，加快推进污染减排工程建设，强化环境监管，淘汰落后产能。全面落实德惠市水污染防治重点工作计划。为持续改善全市环境空气质量，深入贯彻落实打赢蓝天保卫战行动计划方案。</w:t>
      </w:r>
    </w:p>
    <w:p>
      <w:pPr>
        <w:pStyle w:val="5"/>
        <w:ind w:firstLine="560"/>
        <w:rPr>
          <w:rFonts w:ascii="仿宋" w:hAnsi="仿宋"/>
        </w:rPr>
      </w:pPr>
      <w:r>
        <w:rPr>
          <w:rFonts w:ascii="仿宋" w:hAnsi="仿宋"/>
        </w:rPr>
        <w:t>2015至20</w:t>
      </w:r>
      <w:r>
        <w:rPr>
          <w:rFonts w:hint="eastAsia" w:ascii="仿宋" w:hAnsi="仿宋"/>
        </w:rPr>
        <w:t>20</w:t>
      </w:r>
      <w:r>
        <w:rPr>
          <w:rFonts w:ascii="仿宋" w:hAnsi="仿宋"/>
        </w:rPr>
        <w:t>年</w:t>
      </w:r>
      <w:r>
        <w:rPr>
          <w:rFonts w:hint="eastAsia" w:ascii="仿宋" w:hAnsi="仿宋"/>
        </w:rPr>
        <w:t>德惠</w:t>
      </w:r>
      <w:r>
        <w:rPr>
          <w:rFonts w:ascii="仿宋" w:hAnsi="仿宋"/>
        </w:rPr>
        <w:t>市空气质量</w:t>
      </w:r>
      <w:r>
        <w:rPr>
          <w:rFonts w:hint="eastAsia" w:ascii="仿宋" w:hAnsi="仿宋"/>
        </w:rPr>
        <w:t>整体</w:t>
      </w:r>
      <w:r>
        <w:rPr>
          <w:rFonts w:ascii="仿宋" w:hAnsi="仿宋"/>
        </w:rPr>
        <w:t>改善，且</w:t>
      </w:r>
      <w:r>
        <w:rPr>
          <w:rFonts w:hint="eastAsia" w:ascii="仿宋" w:hAnsi="仿宋"/>
        </w:rPr>
        <w:t>污染物排放量呈下降趋势</w:t>
      </w:r>
      <w:r>
        <w:rPr>
          <w:rFonts w:ascii="仿宋" w:hAnsi="仿宋"/>
        </w:rPr>
        <w:t>，</w:t>
      </w:r>
      <w:r>
        <w:rPr>
          <w:rFonts w:hint="eastAsia" w:ascii="仿宋" w:hAnsi="仿宋"/>
        </w:rPr>
        <w:t>废气污染物主要排放指标控制在：二氧化硫1291.99吨、氮氧化物1272.18吨，烟（粉）尘996.31吨，挥发性有机物87.26吨，顺利完成规划的减排目标</w:t>
      </w:r>
      <w:r>
        <w:rPr>
          <w:rFonts w:ascii="仿宋" w:hAnsi="仿宋"/>
        </w:rPr>
        <w:t>，</w:t>
      </w:r>
      <w:r>
        <w:rPr>
          <w:rFonts w:hint="eastAsia" w:ascii="仿宋" w:hAnsi="仿宋"/>
        </w:rPr>
        <w:t>二氧化硫、氮氧化物</w:t>
      </w:r>
      <w:r>
        <w:rPr>
          <w:rFonts w:ascii="仿宋" w:hAnsi="仿宋"/>
        </w:rPr>
        <w:t>较2015年分别消减21.42%、20.86%。</w:t>
      </w:r>
    </w:p>
    <w:p>
      <w:pPr>
        <w:pStyle w:val="4"/>
        <w:ind w:firstLine="562"/>
        <w:rPr>
          <w:rStyle w:val="20"/>
          <w:b/>
          <w:bCs/>
        </w:rPr>
      </w:pPr>
      <w:bookmarkStart w:id="8" w:name="_Toc11814"/>
      <w:r>
        <w:rPr>
          <w:rFonts w:hint="eastAsia"/>
        </w:rPr>
        <w:t>3、</w:t>
      </w:r>
      <w:r>
        <w:fldChar w:fldCharType="begin"/>
      </w:r>
      <w:r>
        <w:instrText xml:space="preserve"> HYPERLINK \l "_Toc31564" </w:instrText>
      </w:r>
      <w:r>
        <w:fldChar w:fldCharType="separate"/>
      </w:r>
      <w:r>
        <w:rPr>
          <w:rStyle w:val="20"/>
          <w:rFonts w:hint="eastAsia"/>
          <w:b/>
          <w:bCs/>
        </w:rPr>
        <w:t>重点工程建设进展顺利</w:t>
      </w:r>
      <w:r>
        <w:rPr>
          <w:rStyle w:val="20"/>
          <w:rFonts w:hint="eastAsia"/>
          <w:b/>
          <w:bCs/>
        </w:rPr>
        <w:fldChar w:fldCharType="end"/>
      </w:r>
      <w:bookmarkEnd w:id="8"/>
    </w:p>
    <w:p>
      <w:pPr>
        <w:pStyle w:val="24"/>
        <w:tabs>
          <w:tab w:val="right" w:leader="dot" w:pos="8844"/>
        </w:tabs>
        <w:ind w:left="0" w:leftChars="0" w:firstLine="560" w:firstLineChars="200"/>
        <w:rPr>
          <w:rFonts w:ascii="仿宋" w:hAnsi="仿宋" w:eastAsia="仿宋" w:cs="宋体"/>
          <w:sz w:val="28"/>
          <w:szCs w:val="28"/>
        </w:rPr>
      </w:pPr>
      <w:r>
        <w:rPr>
          <w:rFonts w:hint="eastAsia" w:ascii="仿宋" w:hAnsi="仿宋" w:eastAsia="仿宋"/>
          <w:sz w:val="28"/>
          <w:szCs w:val="28"/>
        </w:rPr>
        <w:t>德惠市</w:t>
      </w:r>
      <w:r>
        <w:rPr>
          <w:rFonts w:ascii="仿宋" w:hAnsi="仿宋" w:eastAsia="仿宋"/>
          <w:sz w:val="28"/>
          <w:szCs w:val="28"/>
        </w:rPr>
        <w:t>“</w:t>
      </w:r>
      <w:r>
        <w:rPr>
          <w:rFonts w:hint="eastAsia" w:ascii="仿宋" w:hAnsi="仿宋" w:eastAsia="仿宋" w:cs="宋体"/>
          <w:sz w:val="28"/>
          <w:szCs w:val="28"/>
        </w:rPr>
        <w:t>十三五</w:t>
      </w:r>
      <w:r>
        <w:rPr>
          <w:rFonts w:ascii="仿宋" w:hAnsi="仿宋" w:eastAsia="仿宋"/>
          <w:sz w:val="28"/>
          <w:szCs w:val="28"/>
        </w:rPr>
        <w:t>”</w:t>
      </w:r>
      <w:r>
        <w:rPr>
          <w:rFonts w:hint="eastAsia" w:ascii="仿宋" w:hAnsi="仿宋" w:eastAsia="仿宋" w:cs="宋体"/>
          <w:sz w:val="28"/>
          <w:szCs w:val="28"/>
        </w:rPr>
        <w:t>期间共投资2亿元加快推进大气污染综合治理，供热煤改电项目共替换燃煤供热锅炉62台，淘汰治理20蒸吨以下燃煤锅炉364台（套），提标改造20吨以上燃煤锅炉62台（套），并全部纳入在线监测系统。恢复、新建、改造、更新防护林85.6公里；</w:t>
      </w:r>
    </w:p>
    <w:p>
      <w:pPr>
        <w:pStyle w:val="4"/>
        <w:ind w:firstLine="562"/>
        <w:rPr>
          <w:rStyle w:val="20"/>
          <w:b/>
          <w:bCs/>
        </w:rPr>
      </w:pPr>
      <w:bookmarkStart w:id="9" w:name="_Toc738"/>
      <w:r>
        <w:rPr>
          <w:rStyle w:val="20"/>
          <w:rFonts w:hint="eastAsia"/>
          <w:b/>
          <w:bCs/>
        </w:rPr>
        <w:t>4、污染防治攻坚战成果丰硕</w:t>
      </w:r>
      <w:bookmarkEnd w:id="9"/>
    </w:p>
    <w:p>
      <w:pPr>
        <w:pStyle w:val="5"/>
        <w:ind w:firstLine="560"/>
        <w:rPr>
          <w:rStyle w:val="20"/>
          <w:rFonts w:ascii="仿宋" w:hAnsi="仿宋"/>
          <w:b w:val="0"/>
          <w:bCs w:val="0"/>
        </w:rPr>
      </w:pPr>
      <w:r>
        <w:rPr>
          <w:rStyle w:val="20"/>
          <w:rFonts w:hint="eastAsia" w:ascii="仿宋" w:hAnsi="仿宋"/>
          <w:b w:val="0"/>
          <w:bCs w:val="0"/>
        </w:rPr>
        <w:t>按照“大气十条”和蓝天保卫战三年行动计划要求，全力推进大气污染防治。</w:t>
      </w:r>
    </w:p>
    <w:p>
      <w:pPr>
        <w:pStyle w:val="5"/>
        <w:ind w:firstLine="562"/>
        <w:rPr>
          <w:rFonts w:ascii="仿宋" w:hAnsi="仿宋"/>
          <w:highlight w:val="yellow"/>
        </w:rPr>
      </w:pPr>
      <w:r>
        <w:rPr>
          <w:rStyle w:val="20"/>
          <w:rFonts w:hint="eastAsia" w:ascii="仿宋" w:hAnsi="仿宋"/>
        </w:rPr>
        <w:t>一是加大燃煤治理力度，推进能源结构调整。</w:t>
      </w:r>
      <w:r>
        <w:rPr>
          <w:rFonts w:ascii="仿宋" w:hAnsi="仿宋"/>
        </w:rPr>
        <w:t>201</w:t>
      </w:r>
      <w:r>
        <w:rPr>
          <w:rFonts w:hint="eastAsia" w:ascii="仿宋" w:hAnsi="仿宋"/>
        </w:rPr>
        <w:t>8</w:t>
      </w:r>
      <w:r>
        <w:rPr>
          <w:rFonts w:ascii="仿宋" w:hAnsi="仿宋"/>
        </w:rPr>
        <w:t>年，</w:t>
      </w:r>
      <w:r>
        <w:rPr>
          <w:rFonts w:hint="eastAsia" w:ascii="仿宋" w:hAnsi="仿宋"/>
        </w:rPr>
        <w:t>德惠</w:t>
      </w:r>
      <w:r>
        <w:rPr>
          <w:rFonts w:ascii="仿宋" w:hAnsi="仿宋"/>
        </w:rPr>
        <w:t>市能源消耗总量为</w:t>
      </w:r>
      <w:r>
        <w:rPr>
          <w:rFonts w:hint="eastAsia" w:ascii="仿宋" w:hAnsi="仿宋"/>
        </w:rPr>
        <w:t>14476.9</w:t>
      </w:r>
      <w:r>
        <w:rPr>
          <w:rFonts w:ascii="仿宋" w:hAnsi="仿宋"/>
        </w:rPr>
        <w:t>万吨标煤，</w:t>
      </w:r>
      <w:r>
        <w:rPr>
          <w:rFonts w:hint="eastAsia" w:ascii="仿宋" w:hAnsi="仿宋"/>
        </w:rPr>
        <w:t>同2016、2017年增加3.34%、6.88</w:t>
      </w:r>
      <w:r>
        <w:rPr>
          <w:rFonts w:ascii="仿宋" w:hAnsi="仿宋"/>
        </w:rPr>
        <w:t>%</w:t>
      </w:r>
      <w:r>
        <w:rPr>
          <w:rFonts w:hint="eastAsia" w:ascii="仿宋" w:hAnsi="仿宋"/>
        </w:rPr>
        <w:t>，</w:t>
      </w:r>
      <w:r>
        <w:rPr>
          <w:rFonts w:hint="eastAsia" w:ascii="仿宋" w:hAnsi="仿宋" w:cs="宋体"/>
          <w:szCs w:val="28"/>
        </w:rPr>
        <w:t>万元GDP能耗五年累计降低15.5%。</w:t>
      </w:r>
      <w:r>
        <w:rPr>
          <w:rFonts w:hint="eastAsia" w:ascii="仿宋" w:hAnsi="仿宋"/>
        </w:rPr>
        <w:t>节能减排扎实推进</w:t>
      </w:r>
      <w:r>
        <w:rPr>
          <w:rFonts w:hint="eastAsia" w:ascii="仿宋" w:hAnsi="仿宋" w:cs="宋体"/>
          <w:szCs w:val="28"/>
        </w:rPr>
        <w:t>，</w:t>
      </w:r>
      <w:r>
        <w:rPr>
          <w:rFonts w:hint="eastAsia" w:ascii="仿宋" w:hAnsi="仿宋"/>
        </w:rPr>
        <w:t>全市62</w:t>
      </w:r>
      <w:r>
        <w:rPr>
          <w:rFonts w:ascii="仿宋" w:hAnsi="仿宋"/>
        </w:rPr>
        <w:t>台</w:t>
      </w:r>
      <w:r>
        <w:rPr>
          <w:rFonts w:hint="eastAsia" w:ascii="仿宋" w:hAnsi="仿宋"/>
        </w:rPr>
        <w:t>20蒸吨以上燃煤锅炉</w:t>
      </w:r>
      <w:r>
        <w:rPr>
          <w:rFonts w:ascii="仿宋" w:hAnsi="仿宋"/>
        </w:rPr>
        <w:t>完成提标改造，实现达标排放，并全部安装在线监控设施，与生态环境部门联网。积极推进</w:t>
      </w:r>
      <w:r>
        <w:rPr>
          <w:rFonts w:hint="eastAsia" w:ascii="仿宋" w:hAnsi="仿宋"/>
        </w:rPr>
        <w:t>生物质</w:t>
      </w:r>
      <w:r>
        <w:rPr>
          <w:rFonts w:ascii="仿宋" w:hAnsi="仿宋"/>
        </w:rPr>
        <w:t>热电联产供热、电采暖、燃气采暖、生物质采暖、地热取暖</w:t>
      </w:r>
      <w:r>
        <w:rPr>
          <w:rFonts w:hint="eastAsia" w:ascii="仿宋" w:hAnsi="仿宋"/>
        </w:rPr>
        <w:t>、生活垃圾焚烧发电</w:t>
      </w:r>
      <w:r>
        <w:rPr>
          <w:rFonts w:ascii="仿宋" w:hAnsi="仿宋"/>
        </w:rPr>
        <w:t>等清洁能源供热形式，</w:t>
      </w:r>
      <w:r>
        <w:rPr>
          <w:rFonts w:hint="eastAsia" w:ascii="仿宋" w:hAnsi="仿宋"/>
        </w:rPr>
        <w:t>清洁能源生产能力快速增长。因地制宜开展电采暖改造工作，“十三五”期间，电清洁取暖改造项目面积累计达31万平方米。</w:t>
      </w:r>
      <w:bookmarkStart w:id="10" w:name="_Hlk58414716"/>
    </w:p>
    <w:bookmarkEnd w:id="10"/>
    <w:p>
      <w:pPr>
        <w:pStyle w:val="5"/>
        <w:ind w:firstLine="562"/>
        <w:rPr>
          <w:rStyle w:val="20"/>
          <w:rFonts w:ascii="仿宋" w:hAnsi="仿宋"/>
          <w:b w:val="0"/>
          <w:bCs w:val="0"/>
        </w:rPr>
      </w:pPr>
      <w:r>
        <w:rPr>
          <w:rStyle w:val="20"/>
          <w:rFonts w:hint="eastAsia" w:ascii="仿宋" w:hAnsi="仿宋"/>
        </w:rPr>
        <w:t>二是加大工业污染防治力度。</w:t>
      </w:r>
      <w:r>
        <w:rPr>
          <w:rStyle w:val="20"/>
          <w:rFonts w:hint="eastAsia" w:ascii="仿宋" w:hAnsi="仿宋"/>
          <w:b w:val="0"/>
          <w:bCs w:val="0"/>
        </w:rPr>
        <w:t>重污染产能退出和过剩化解机制，对长期超标排放的企业、无治理能力且无治理意愿的企业、达标无望的企业，已依法予以关闭淘汰，关停取缔26家“散乱污”企业。</w:t>
      </w:r>
    </w:p>
    <w:p>
      <w:pPr>
        <w:pStyle w:val="5"/>
        <w:ind w:firstLine="562"/>
        <w:rPr>
          <w:rStyle w:val="20"/>
          <w:rFonts w:ascii="仿宋" w:hAnsi="仿宋"/>
        </w:rPr>
      </w:pPr>
      <w:r>
        <w:rPr>
          <w:rStyle w:val="20"/>
          <w:rFonts w:hint="eastAsia" w:ascii="仿宋" w:hAnsi="仿宋"/>
        </w:rPr>
        <w:t>三是积极调整运输结构，发展绿色交通体系。</w:t>
      </w:r>
      <w:r>
        <w:rPr>
          <w:rStyle w:val="20"/>
          <w:rFonts w:hint="eastAsia" w:ascii="仿宋" w:hAnsi="仿宋"/>
          <w:b w:val="0"/>
          <w:bCs w:val="0"/>
        </w:rPr>
        <w:t>充分利用已有铁路专用线能力，加快推进德翔物流散粮运输改造项目，积极谋划东大物流铁路运输项目，提高铁路运输比例。141台电动公交车，更换新能源车达到100%。1373台巡游出租车，尾气排放均符合环保要求，</w:t>
      </w:r>
      <w:r>
        <w:rPr>
          <w:rFonts w:hint="eastAsia" w:ascii="仿宋" w:hAnsi="仿宋"/>
        </w:rPr>
        <w:t>新出租车均安装三元催化装置并全部使用天然气为动力燃</w:t>
      </w:r>
      <w:r>
        <w:rPr>
          <w:rFonts w:hint="eastAsia" w:ascii="仿宋" w:hAnsi="仿宋"/>
          <w:sz w:val="30"/>
          <w:szCs w:val="30"/>
        </w:rPr>
        <w:t>料。</w:t>
      </w:r>
      <w:r>
        <w:rPr>
          <w:rStyle w:val="20"/>
          <w:rFonts w:hint="eastAsia" w:ascii="仿宋" w:hAnsi="仿宋"/>
          <w:b w:val="0"/>
          <w:bCs w:val="0"/>
        </w:rPr>
        <w:t>国五标准出台之后落籍的货运车辆均安装尾气处理和选择性催化还原装置，机动车环检率达到100%。走访施工工地，推进非道路移动机械摸底排查及号牌发放工作，截至2020年12月，录入信息185条。对柴油货车进行路检路查合格率90﹪.全面开展“清洁柴油车、清洁柴油机、清洁运输、清洁油品”行动，建设“天地车人”一体化机动车排放污染监管体系。完成国三及以下柴油货车限（禁）行区域和高排放非道路移动机械限（禁）行区域划定。</w:t>
      </w:r>
    </w:p>
    <w:p>
      <w:pPr>
        <w:pStyle w:val="5"/>
        <w:ind w:firstLine="562"/>
        <w:rPr>
          <w:rStyle w:val="20"/>
          <w:rFonts w:ascii="仿宋" w:hAnsi="仿宋"/>
        </w:rPr>
      </w:pPr>
      <w:r>
        <w:rPr>
          <w:rStyle w:val="20"/>
          <w:rFonts w:hint="eastAsia" w:ascii="仿宋" w:hAnsi="仿宋"/>
        </w:rPr>
        <w:t>四是狠抓秸秆禁烧管控。</w:t>
      </w:r>
      <w:r>
        <w:rPr>
          <w:rFonts w:hint="eastAsia" w:ascii="仿宋" w:hAnsi="仿宋"/>
          <w:szCs w:val="28"/>
        </w:rPr>
        <w:t>完成全市禁烧区划定，深入开展秸秆禁烧、离田、计划烧除、禁烧巡查等工作。德惠市将通过50个秸秆全量还田保护性耕作示范点的辐射带动作用,大力推广秸秆全量还田保护性耕作技术；建立秸秆收储站点223个，秸秆收储站点补贴政策。2018年，全市秸秆综合利用率为87.10%，比2017年度提高了13.18个百分点。</w:t>
      </w:r>
    </w:p>
    <w:p>
      <w:pPr>
        <w:pStyle w:val="5"/>
        <w:ind w:firstLine="562"/>
        <w:rPr>
          <w:rStyle w:val="20"/>
          <w:rFonts w:ascii="仿宋" w:hAnsi="仿宋"/>
        </w:rPr>
      </w:pPr>
      <w:r>
        <w:rPr>
          <w:rStyle w:val="20"/>
          <w:rFonts w:hint="eastAsia" w:ascii="仿宋" w:hAnsi="仿宋"/>
        </w:rPr>
        <w:t>五是餐饮油烟污染治理稳步推进。</w:t>
      </w:r>
      <w:r>
        <w:rPr>
          <w:rStyle w:val="20"/>
          <w:rFonts w:hint="eastAsia" w:ascii="仿宋" w:hAnsi="仿宋"/>
          <w:b w:val="0"/>
          <w:bCs w:val="0"/>
        </w:rPr>
        <w:t>全市已有100余家餐饮业户安装了油烟净化装置，餐饮业油烟污染问题得到很大程度的缓解；</w:t>
      </w:r>
    </w:p>
    <w:p>
      <w:pPr>
        <w:pStyle w:val="5"/>
        <w:ind w:firstLine="562"/>
        <w:rPr>
          <w:rStyle w:val="20"/>
          <w:rFonts w:ascii="仿宋" w:hAnsi="仿宋"/>
          <w:b w:val="0"/>
          <w:bCs w:val="0"/>
        </w:rPr>
      </w:pPr>
      <w:r>
        <w:rPr>
          <w:rStyle w:val="20"/>
          <w:rFonts w:hint="eastAsia" w:ascii="仿宋" w:hAnsi="仿宋"/>
        </w:rPr>
        <w:t>六是挥发性有机物初步开展。</w:t>
      </w:r>
      <w:r>
        <w:rPr>
          <w:rStyle w:val="20"/>
          <w:rFonts w:hint="eastAsia" w:ascii="仿宋" w:hAnsi="仿宋"/>
          <w:b w:val="0"/>
          <w:bCs w:val="0"/>
        </w:rPr>
        <w:t>完成挥发性有机物产生企业摸底调查统计工作。德惠市81家加油站，25辆油罐车全部完成油气回收治理；</w:t>
      </w:r>
    </w:p>
    <w:p>
      <w:pPr>
        <w:pStyle w:val="5"/>
        <w:ind w:firstLine="562"/>
        <w:rPr>
          <w:rStyle w:val="20"/>
          <w:rFonts w:ascii="仿宋" w:hAnsi="仿宋"/>
        </w:rPr>
      </w:pPr>
      <w:r>
        <w:rPr>
          <w:rStyle w:val="20"/>
          <w:rFonts w:hint="eastAsia" w:ascii="仿宋" w:hAnsi="仿宋"/>
        </w:rPr>
        <w:t>七是加强重污染天气应对。</w:t>
      </w:r>
      <w:r>
        <w:rPr>
          <w:rStyle w:val="20"/>
          <w:rFonts w:hint="eastAsia" w:ascii="仿宋" w:hAnsi="仿宋"/>
          <w:b w:val="0"/>
          <w:bCs w:val="0"/>
        </w:rPr>
        <w:t>修订完善《重污染天气应急预案》，指导重点企业完善应急减排措施。预测可能出现大范围重污染天气时，市重污染天气应急指挥部成员单位联合会商、联合响应。科学制定了燃煤供热锅炉错时启炉方案，实行水泥熟料生产线错峰生产，实施重污染天气应急运输响应。</w:t>
      </w:r>
    </w:p>
    <w:p>
      <w:pPr>
        <w:pStyle w:val="5"/>
        <w:ind w:firstLine="562"/>
        <w:rPr>
          <w:rStyle w:val="20"/>
          <w:rFonts w:ascii="仿宋" w:hAnsi="仿宋"/>
          <w:b w:val="0"/>
          <w:bCs w:val="0"/>
        </w:rPr>
      </w:pPr>
      <w:r>
        <w:rPr>
          <w:rStyle w:val="20"/>
          <w:rFonts w:hint="eastAsia" w:ascii="仿宋" w:hAnsi="仿宋"/>
        </w:rPr>
        <w:t>八是加大扬尘管控。</w:t>
      </w:r>
      <w:r>
        <w:rPr>
          <w:rStyle w:val="20"/>
          <w:rFonts w:hint="eastAsia" w:ascii="仿宋" w:hAnsi="仿宋"/>
          <w:b w:val="0"/>
          <w:bCs w:val="0"/>
        </w:rPr>
        <w:t>严格实施建筑施工标准化管理，对不达标的施工场所限期整改。城市建成区全面消除裸露地面。市区主次干道机械化清扫率达到100%，市（市）主次干道机械化清扫率达到90%。</w:t>
      </w:r>
    </w:p>
    <w:p>
      <w:pPr>
        <w:pStyle w:val="4"/>
        <w:ind w:firstLine="562"/>
        <w:rPr>
          <w:rStyle w:val="20"/>
          <w:b/>
          <w:bCs/>
        </w:rPr>
      </w:pPr>
      <w:bookmarkStart w:id="11" w:name="_Toc22591"/>
      <w:r>
        <w:rPr>
          <w:rFonts w:hint="eastAsia"/>
        </w:rPr>
        <w:t>5、</w:t>
      </w:r>
      <w:r>
        <w:fldChar w:fldCharType="begin"/>
      </w:r>
      <w:r>
        <w:instrText xml:space="preserve"> HYPERLINK \l "_Toc3273" </w:instrText>
      </w:r>
      <w:r>
        <w:fldChar w:fldCharType="separate"/>
      </w:r>
      <w:r>
        <w:rPr>
          <w:rStyle w:val="20"/>
          <w:rFonts w:hint="eastAsia"/>
          <w:b/>
          <w:bCs/>
        </w:rPr>
        <w:t>环境监管能力显著提升</w:t>
      </w:r>
      <w:r>
        <w:rPr>
          <w:rStyle w:val="20"/>
          <w:rFonts w:hint="eastAsia"/>
          <w:b/>
          <w:bCs/>
        </w:rPr>
        <w:fldChar w:fldCharType="end"/>
      </w:r>
      <w:bookmarkEnd w:id="11"/>
    </w:p>
    <w:p>
      <w:pPr>
        <w:widowControl/>
        <w:spacing w:line="360" w:lineRule="auto"/>
        <w:ind w:left="846"/>
        <w:rPr>
          <w:rFonts w:ascii="仿宋" w:hAnsi="仿宋" w:eastAsia="仿宋" w:cs="宋体"/>
          <w:sz w:val="28"/>
          <w:szCs w:val="28"/>
        </w:rPr>
      </w:pPr>
      <w:r>
        <w:rPr>
          <w:rFonts w:hint="eastAsia" w:ascii="仿宋" w:hAnsi="仿宋" w:eastAsia="仿宋" w:cs="宋体"/>
          <w:kern w:val="0"/>
          <w:sz w:val="28"/>
          <w:szCs w:val="28"/>
        </w:rPr>
        <w:t>（1）</w:t>
      </w:r>
      <w:r>
        <w:rPr>
          <w:rFonts w:hint="eastAsia" w:ascii="仿宋" w:hAnsi="仿宋" w:eastAsia="仿宋" w:cs="宋体"/>
          <w:sz w:val="28"/>
          <w:szCs w:val="28"/>
        </w:rPr>
        <w:t>建设现代化的环境监测预警体系</w:t>
      </w:r>
    </w:p>
    <w:p>
      <w:pPr>
        <w:pStyle w:val="24"/>
        <w:tabs>
          <w:tab w:val="right" w:leader="dot" w:pos="8844"/>
        </w:tabs>
        <w:ind w:left="420" w:firstLine="560" w:firstLineChars="200"/>
        <w:rPr>
          <w:rStyle w:val="20"/>
          <w:rFonts w:ascii="仿宋" w:hAnsi="仿宋"/>
        </w:rPr>
      </w:pPr>
      <w:r>
        <w:rPr>
          <w:rFonts w:hint="eastAsia" w:ascii="仿宋" w:hAnsi="仿宋" w:eastAsia="仿宋" w:cs="宋体"/>
          <w:sz w:val="28"/>
          <w:szCs w:val="28"/>
        </w:rPr>
        <w:t>环境监测站基础监测能力建设进一步增强，保证了大气常规污染物基本监测指标、细粒子监测、气象要素观测，为建立完善环境应急监测基础数据库奠定基础并大大提升应急监测能力。建立健全灰霾影响空气质量自动监测体系，地面和立体相结合的空气质量监测网已经形成。</w:t>
      </w:r>
    </w:p>
    <w:p>
      <w:pPr>
        <w:widowControl/>
        <w:wordWrap w:val="0"/>
        <w:spacing w:before="100" w:beforeAutospacing="1" w:after="100" w:afterAutospacing="1" w:line="360" w:lineRule="auto"/>
        <w:ind w:firstLine="618" w:firstLineChars="221"/>
        <w:jc w:val="left"/>
        <w:rPr>
          <w:rFonts w:ascii="仿宋" w:hAnsi="仿宋" w:eastAsia="仿宋" w:cs="宋体"/>
          <w:kern w:val="0"/>
          <w:sz w:val="28"/>
          <w:szCs w:val="28"/>
        </w:rPr>
      </w:pPr>
      <w:r>
        <w:rPr>
          <w:rFonts w:hint="eastAsia" w:ascii="仿宋" w:hAnsi="仿宋" w:eastAsia="仿宋" w:cs="Times New Roman"/>
          <w:kern w:val="0"/>
          <w:sz w:val="28"/>
          <w:szCs w:val="28"/>
        </w:rPr>
        <w:t>（2）</w:t>
      </w:r>
      <w:r>
        <w:rPr>
          <w:rFonts w:hint="eastAsia" w:ascii="仿宋" w:hAnsi="仿宋" w:eastAsia="仿宋" w:cs="宋体"/>
          <w:kern w:val="0"/>
          <w:sz w:val="28"/>
          <w:szCs w:val="28"/>
        </w:rPr>
        <w:t>建设完备的环境执法监督体系</w:t>
      </w:r>
    </w:p>
    <w:p>
      <w:pPr>
        <w:widowControl/>
        <w:wordWrap w:val="0"/>
        <w:spacing w:before="100" w:beforeAutospacing="1" w:after="100" w:afterAutospacing="1"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为加强环境监管执法能力建设。</w:t>
      </w:r>
      <w:r>
        <w:rPr>
          <w:rFonts w:ascii="仿宋" w:hAnsi="仿宋" w:eastAsia="仿宋" w:cs="Times New Roman"/>
          <w:kern w:val="0"/>
          <w:sz w:val="28"/>
          <w:szCs w:val="28"/>
        </w:rPr>
        <w:t>“</w:t>
      </w:r>
      <w:r>
        <w:rPr>
          <w:rFonts w:hint="eastAsia" w:ascii="仿宋" w:hAnsi="仿宋" w:eastAsia="仿宋" w:cs="宋体"/>
          <w:kern w:val="0"/>
          <w:sz w:val="28"/>
          <w:szCs w:val="28"/>
        </w:rPr>
        <w:t>十三五</w:t>
      </w:r>
      <w:r>
        <w:rPr>
          <w:rFonts w:ascii="仿宋" w:hAnsi="仿宋" w:eastAsia="仿宋" w:cs="Times New Roman"/>
          <w:kern w:val="0"/>
          <w:sz w:val="28"/>
          <w:szCs w:val="28"/>
        </w:rPr>
        <w:t>”</w:t>
      </w:r>
      <w:r>
        <w:rPr>
          <w:rFonts w:hint="eastAsia" w:ascii="仿宋" w:hAnsi="仿宋" w:eastAsia="仿宋" w:cs="宋体"/>
          <w:kern w:val="0"/>
          <w:sz w:val="28"/>
          <w:szCs w:val="28"/>
        </w:rPr>
        <w:t>期间加大投入，加强环境现场监管、污染源自动监控、环境现场应急、环保举报热线、排污申报数据管理等执法能力建设。污染源自动监控系统满足实际工作需要，正常稳定运行；环境现场应急装备满足快速反应需要；环保举报热线系统保证通讯和信息交换畅通；排污申报数据信息管理软件建设达到国家规范要求。</w:t>
      </w:r>
    </w:p>
    <w:p>
      <w:pPr>
        <w:pStyle w:val="3"/>
        <w:rPr>
          <w:rFonts w:ascii="仿宋" w:hAnsi="仿宋" w:eastAsia="仿宋"/>
        </w:rPr>
      </w:pPr>
      <w:bookmarkStart w:id="12" w:name="_Toc8230"/>
      <w:r>
        <w:rPr>
          <w:rFonts w:hint="eastAsia" w:ascii="仿宋" w:hAnsi="仿宋" w:eastAsia="仿宋"/>
        </w:rPr>
        <w:t>（二）大气污染防治形势及存在的问题</w:t>
      </w:r>
      <w:bookmarkEnd w:id="12"/>
    </w:p>
    <w:p>
      <w:pPr>
        <w:pStyle w:val="4"/>
        <w:tabs>
          <w:tab w:val="left" w:pos="1387"/>
        </w:tabs>
        <w:ind w:firstLine="0" w:firstLineChars="0"/>
        <w:rPr>
          <w:rStyle w:val="20"/>
          <w:b/>
          <w:bCs/>
        </w:rPr>
      </w:pPr>
      <w:bookmarkStart w:id="13" w:name="_Toc26731"/>
      <w:r>
        <w:rPr>
          <w:rStyle w:val="20"/>
          <w:b/>
          <w:bCs/>
        </w:rPr>
        <w:t>1、生态环境质量改善成效不稳固</w:t>
      </w:r>
      <w:bookmarkEnd w:id="13"/>
    </w:p>
    <w:p>
      <w:pPr>
        <w:widowControl/>
        <w:wordWrap w:val="0"/>
        <w:spacing w:before="100" w:beforeAutospacing="1" w:after="100" w:afterAutospacing="1"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环境空气质量逐步改善，基础不够稳固。污染物排放是我市环境空气污染的内因，不利气象条件和区域传输影响是环境空气污染的主要外因。燃煤污染问题，秸秆露天焚烧问题仍需得到有效管控，夏季臭氧污染凸现。环境空气质量仍属“气象敏感型”和“气候影响型”。受静稳、高湿、逆温等不利气象条件影响，空气质量反弹明显。</w:t>
      </w:r>
    </w:p>
    <w:p>
      <w:pPr>
        <w:pStyle w:val="4"/>
        <w:ind w:firstLine="562"/>
      </w:pPr>
      <w:bookmarkStart w:id="14" w:name="_Toc2017"/>
      <w:r>
        <w:rPr>
          <w:rFonts w:hint="eastAsia"/>
        </w:rPr>
        <w:t>2、污染防治攻坚任务存在薄弱环节</w:t>
      </w:r>
      <w:bookmarkEnd w:id="14"/>
    </w:p>
    <w:p>
      <w:pPr>
        <w:widowControl/>
        <w:wordWrap w:val="0"/>
        <w:spacing w:before="100" w:beforeAutospacing="1" w:after="100" w:afterAutospacing="1"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在大气污染防治方面，燃煤污染治理依然任重道远。存在清洁燃料供应体系建设进展缓慢，城中村、城乡接合部、农村城区原煤散煤污染突出，燃煤锅炉大气污染物排放标准仍需趋严等问题。从节能减排情况看，单位 GDP 能耗下降幅度收窄，单位 GDP 能耗增幅收窄将越来越难。挥发性有机物治理启步晚，存在基础薄弱、监管能力不足等问题。秸秆“五化”综合利用率不足9</w:t>
      </w:r>
      <w:r>
        <w:rPr>
          <w:rFonts w:ascii="仿宋" w:hAnsi="仿宋" w:eastAsia="仿宋" w:cs="宋体"/>
          <w:kern w:val="0"/>
          <w:sz w:val="28"/>
          <w:szCs w:val="28"/>
        </w:rPr>
        <w:t>0</w:t>
      </w:r>
      <w:r>
        <w:rPr>
          <w:rFonts w:hint="eastAsia" w:ascii="仿宋" w:hAnsi="仿宋" w:eastAsia="仿宋" w:cs="宋体"/>
          <w:kern w:val="0"/>
          <w:sz w:val="28"/>
          <w:szCs w:val="28"/>
        </w:rPr>
        <w:t>%，秸秆全量化处置和禁烧管控措施不够精准，秸秆露天焚烧污染严重。柴油货车和非道路移动机械监管及治理体系仍需完善，商砼、施工工地、渣土运输车辆管控存在死角。</w:t>
      </w:r>
    </w:p>
    <w:p>
      <w:pPr>
        <w:pStyle w:val="4"/>
        <w:ind w:firstLine="562"/>
      </w:pPr>
      <w:bookmarkStart w:id="15" w:name="_Toc30747"/>
      <w:r>
        <w:rPr>
          <w:rFonts w:hint="eastAsia"/>
        </w:rPr>
        <w:t>3、结构性污染问题依然突出</w:t>
      </w:r>
      <w:bookmarkEnd w:id="15"/>
    </w:p>
    <w:p>
      <w:pPr>
        <w:widowControl/>
        <w:wordWrap w:val="0"/>
        <w:spacing w:before="100" w:beforeAutospacing="1" w:after="100" w:afterAutospacing="1"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产业结构方面，我市虽不涉及重污染企业搬迁改造或关闭退出、化工园区整治等区域产业布局调整。但是产业以汽车零部件制造为主的仍不能改变。能源结构方面，能源消费增速明显回落，清洁能源的发展仍需大力推进。运输结构方面，商品运输以公路为主，国四以下高排放机动车辆淘汰难度大。用地结构方面，针对我市农田防护林部分林带流失，防护功能下降的问题，应继续加强工程建设。</w:t>
      </w:r>
    </w:p>
    <w:p>
      <w:pPr>
        <w:pStyle w:val="4"/>
        <w:ind w:firstLine="562"/>
      </w:pPr>
      <w:bookmarkStart w:id="16" w:name="_Toc21838"/>
      <w:r>
        <w:rPr>
          <w:rFonts w:hint="eastAsia"/>
        </w:rPr>
        <w:t>4、新老生态环境问题积累叠加</w:t>
      </w:r>
      <w:bookmarkEnd w:id="16"/>
    </w:p>
    <w:p>
      <w:pPr>
        <w:widowControl/>
        <w:wordWrap w:val="0"/>
        <w:spacing w:before="100" w:beforeAutospacing="1" w:after="100" w:afterAutospacing="1" w:line="360" w:lineRule="auto"/>
        <w:ind w:firstLine="560" w:firstLineChars="200"/>
        <w:jc w:val="left"/>
        <w:rPr>
          <w:rFonts w:ascii="仿宋" w:hAnsi="仿宋" w:eastAsia="仿宋" w:cs="宋体"/>
          <w:kern w:val="0"/>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宋体"/>
          <w:kern w:val="0"/>
          <w:sz w:val="28"/>
          <w:szCs w:val="28"/>
        </w:rPr>
        <w:t>生态环境面临多领域、多类型、多层面、新老环境问题纵横交错、累积叠加的复杂局面。大气环境质量仍属于典型的“气象敏感型”，采暖季燃煤污染和秸秆露天焚烧污染尚未有效控制，夏季臭氧污染问题日益突出，大气形成细颗粒物（PM2.5）和臭氧（O3）污染叠加的复合型污染特征。</w:t>
      </w:r>
    </w:p>
    <w:p>
      <w:pPr>
        <w:pStyle w:val="2"/>
        <w:rPr>
          <w:rFonts w:ascii="仿宋" w:hAnsi="仿宋" w:eastAsia="仿宋"/>
        </w:rPr>
      </w:pPr>
      <w:bookmarkStart w:id="17" w:name="_Toc9988"/>
      <w:r>
        <w:rPr>
          <w:rFonts w:hint="eastAsia"/>
        </w:rPr>
        <w:fldChar w:fldCharType="begin"/>
      </w:r>
      <w:r>
        <w:instrText xml:space="preserve"> HYPERLINK \l "_Toc6925" </w:instrText>
      </w:r>
      <w:r>
        <w:rPr>
          <w:rFonts w:hint="eastAsia"/>
        </w:rPr>
        <w:fldChar w:fldCharType="separate"/>
      </w:r>
      <w:r>
        <w:rPr>
          <w:rFonts w:hint="eastAsia" w:ascii="仿宋" w:hAnsi="仿宋" w:eastAsia="仿宋"/>
        </w:rPr>
        <w:t>二、总体要求</w:t>
      </w:r>
      <w:r>
        <w:rPr>
          <w:rFonts w:hint="eastAsia" w:ascii="仿宋" w:hAnsi="仿宋" w:eastAsia="仿宋"/>
        </w:rPr>
        <w:fldChar w:fldCharType="end"/>
      </w:r>
      <w:bookmarkEnd w:id="17"/>
    </w:p>
    <w:p>
      <w:pPr>
        <w:pStyle w:val="3"/>
        <w:rPr>
          <w:rFonts w:ascii="仿宋" w:hAnsi="仿宋" w:eastAsia="仿宋"/>
        </w:rPr>
      </w:pPr>
      <w:bookmarkStart w:id="18" w:name="_Toc23840"/>
      <w:r>
        <w:rPr>
          <w:rFonts w:hint="eastAsia" w:ascii="仿宋" w:hAnsi="仿宋" w:eastAsia="仿宋"/>
        </w:rPr>
        <w:t>（一）</w:t>
      </w:r>
      <w:r>
        <w:fldChar w:fldCharType="begin"/>
      </w:r>
      <w:r>
        <w:instrText xml:space="preserve"> HYPERLINK \l "_Toc25669" </w:instrText>
      </w:r>
      <w:r>
        <w:fldChar w:fldCharType="separate"/>
      </w:r>
      <w:r>
        <w:rPr>
          <w:rFonts w:hint="eastAsia" w:ascii="仿宋" w:hAnsi="仿宋" w:eastAsia="仿宋"/>
        </w:rPr>
        <w:t>规划范围</w:t>
      </w:r>
      <w:r>
        <w:rPr>
          <w:rFonts w:hint="eastAsia" w:ascii="仿宋" w:hAnsi="仿宋" w:eastAsia="仿宋"/>
        </w:rPr>
        <w:fldChar w:fldCharType="end"/>
      </w:r>
      <w:bookmarkEnd w:id="18"/>
    </w:p>
    <w:p>
      <w:pPr>
        <w:pStyle w:val="5"/>
        <w:ind w:firstLine="560"/>
        <w:rPr>
          <w:rFonts w:ascii="仿宋" w:hAnsi="仿宋"/>
        </w:rPr>
      </w:pPr>
      <w:r>
        <w:rPr>
          <w:rFonts w:hint="eastAsia" w:ascii="仿宋" w:hAnsi="仿宋"/>
        </w:rPr>
        <w:t>本规划的范围为德惠市全域，总面积为3322平方公里。</w:t>
      </w:r>
    </w:p>
    <w:p>
      <w:pPr>
        <w:pStyle w:val="3"/>
        <w:rPr>
          <w:rFonts w:ascii="仿宋" w:hAnsi="仿宋" w:eastAsia="仿宋"/>
        </w:rPr>
      </w:pPr>
      <w:bookmarkStart w:id="19" w:name="_Toc17277"/>
      <w:r>
        <w:rPr>
          <w:rFonts w:hint="eastAsia"/>
        </w:rPr>
        <w:fldChar w:fldCharType="begin"/>
      </w:r>
      <w:r>
        <w:instrText xml:space="preserve"> HYPERLINK \l "_Toc13109" </w:instrText>
      </w:r>
      <w:r>
        <w:rPr>
          <w:rFonts w:hint="eastAsia"/>
        </w:rPr>
        <w:fldChar w:fldCharType="separate"/>
      </w:r>
      <w:r>
        <w:rPr>
          <w:rFonts w:hint="eastAsia" w:ascii="仿宋" w:hAnsi="仿宋" w:eastAsia="仿宋"/>
        </w:rPr>
        <w:t>（二）</w:t>
      </w:r>
      <w:r>
        <w:rPr>
          <w:rFonts w:hint="eastAsia" w:ascii="仿宋" w:hAnsi="仿宋" w:eastAsia="仿宋"/>
        </w:rPr>
        <w:fldChar w:fldCharType="end"/>
      </w:r>
      <w:r>
        <w:rPr>
          <w:rFonts w:hint="eastAsia" w:ascii="仿宋" w:hAnsi="仿宋" w:eastAsia="仿宋"/>
        </w:rPr>
        <w:t>规划依据</w:t>
      </w:r>
      <w:bookmarkEnd w:id="19"/>
    </w:p>
    <w:p>
      <w:pPr>
        <w:pStyle w:val="5"/>
        <w:ind w:firstLine="560"/>
        <w:rPr>
          <w:rFonts w:ascii="仿宋" w:hAnsi="仿宋" w:cs="宋体"/>
        </w:rPr>
      </w:pPr>
      <w:r>
        <w:rPr>
          <w:rFonts w:hint="eastAsia" w:ascii="仿宋" w:hAnsi="仿宋" w:cs="宋体"/>
        </w:rPr>
        <w:t>1. 《中华人民共和国环境保护法》（2014年4月24日）</w:t>
      </w:r>
    </w:p>
    <w:p>
      <w:pPr>
        <w:pStyle w:val="5"/>
        <w:ind w:firstLine="560"/>
        <w:rPr>
          <w:rFonts w:ascii="仿宋" w:hAnsi="仿宋" w:cs="宋体"/>
        </w:rPr>
      </w:pPr>
      <w:r>
        <w:rPr>
          <w:rFonts w:hint="eastAsia" w:ascii="仿宋" w:hAnsi="仿宋" w:cs="宋体"/>
        </w:rPr>
        <w:t>2. 《中华人民共和国大气污染防治法》（2018年11月13日）</w:t>
      </w:r>
    </w:p>
    <w:p>
      <w:pPr>
        <w:pStyle w:val="5"/>
        <w:ind w:firstLine="560"/>
        <w:rPr>
          <w:rFonts w:ascii="仿宋" w:hAnsi="仿宋" w:cs="宋体"/>
        </w:rPr>
      </w:pPr>
      <w:r>
        <w:rPr>
          <w:rFonts w:hint="eastAsia" w:ascii="仿宋" w:hAnsi="仿宋" w:cs="宋体"/>
        </w:rPr>
        <w:t>3. 《中共中央国务院关于加快推进生态文明建设的意见》</w:t>
      </w:r>
    </w:p>
    <w:p>
      <w:pPr>
        <w:pStyle w:val="5"/>
        <w:ind w:firstLine="560"/>
        <w:rPr>
          <w:rFonts w:ascii="仿宋" w:hAnsi="仿宋" w:cs="宋体"/>
        </w:rPr>
      </w:pPr>
      <w:r>
        <w:rPr>
          <w:rFonts w:hint="eastAsia" w:ascii="仿宋" w:hAnsi="仿宋" w:cs="宋体"/>
        </w:rPr>
        <w:t>4. 《生态文明体制改革总体方案》</w:t>
      </w:r>
    </w:p>
    <w:p>
      <w:pPr>
        <w:pStyle w:val="5"/>
        <w:ind w:firstLine="560"/>
        <w:rPr>
          <w:rFonts w:ascii="仿宋" w:hAnsi="仿宋" w:cs="宋体"/>
        </w:rPr>
      </w:pPr>
      <w:r>
        <w:rPr>
          <w:rFonts w:hint="eastAsia" w:ascii="仿宋" w:hAnsi="仿宋" w:cs="宋体"/>
        </w:rPr>
        <w:t>5. 《中共中央国务院关于全面加强生态环境保护坚决打好污染防治攻坚战的意见》</w:t>
      </w:r>
    </w:p>
    <w:p>
      <w:pPr>
        <w:pStyle w:val="5"/>
        <w:ind w:firstLine="560"/>
        <w:rPr>
          <w:rFonts w:ascii="仿宋" w:hAnsi="仿宋" w:cs="宋体"/>
        </w:rPr>
      </w:pPr>
      <w:r>
        <w:rPr>
          <w:rFonts w:hint="eastAsia" w:ascii="仿宋" w:hAnsi="仿宋" w:cs="宋体"/>
        </w:rPr>
        <w:t>6. 《关于构建现代环境治理体系的指导意见》</w:t>
      </w:r>
    </w:p>
    <w:p>
      <w:pPr>
        <w:pStyle w:val="5"/>
        <w:ind w:firstLine="560"/>
        <w:rPr>
          <w:rFonts w:ascii="仿宋" w:hAnsi="仿宋" w:cs="宋体"/>
        </w:rPr>
      </w:pPr>
      <w:r>
        <w:rPr>
          <w:rFonts w:hint="eastAsia" w:ascii="仿宋" w:hAnsi="仿宋" w:cs="宋体"/>
        </w:rPr>
        <w:t>7. 《大气污染防治行动计划》</w:t>
      </w:r>
    </w:p>
    <w:p>
      <w:pPr>
        <w:pStyle w:val="5"/>
        <w:ind w:firstLine="560"/>
        <w:rPr>
          <w:rFonts w:ascii="仿宋" w:hAnsi="仿宋" w:cs="宋体"/>
        </w:rPr>
      </w:pPr>
      <w:r>
        <w:rPr>
          <w:rFonts w:hint="eastAsia" w:ascii="仿宋" w:hAnsi="仿宋" w:cs="宋体"/>
        </w:rPr>
        <w:t>8. 《打赢蓝天保卫战三年行动计划》</w:t>
      </w:r>
    </w:p>
    <w:p>
      <w:pPr>
        <w:pStyle w:val="5"/>
        <w:ind w:firstLine="560"/>
        <w:rPr>
          <w:rFonts w:ascii="仿宋" w:hAnsi="仿宋" w:cs="宋体"/>
        </w:rPr>
      </w:pPr>
      <w:r>
        <w:rPr>
          <w:rFonts w:hint="eastAsia" w:ascii="仿宋" w:hAnsi="仿宋" w:cs="宋体"/>
        </w:rPr>
        <w:t>9. 《交通强国建设纲要》</w:t>
      </w:r>
    </w:p>
    <w:p>
      <w:pPr>
        <w:pStyle w:val="5"/>
        <w:ind w:firstLine="560"/>
        <w:rPr>
          <w:rFonts w:ascii="仿宋" w:hAnsi="仿宋" w:cs="宋体"/>
        </w:rPr>
      </w:pPr>
      <w:r>
        <w:rPr>
          <w:rFonts w:hint="eastAsia" w:ascii="仿宋" w:hAnsi="仿宋" w:cs="宋体"/>
        </w:rPr>
        <w:t>10. 《柴油货车污染治理攻坚战行动计划》</w:t>
      </w:r>
    </w:p>
    <w:p>
      <w:pPr>
        <w:pStyle w:val="5"/>
        <w:ind w:firstLine="560"/>
        <w:rPr>
          <w:rFonts w:ascii="仿宋" w:hAnsi="仿宋" w:cs="宋体"/>
        </w:rPr>
      </w:pPr>
      <w:r>
        <w:rPr>
          <w:rFonts w:hint="eastAsia" w:ascii="仿宋" w:hAnsi="仿宋" w:cs="宋体"/>
        </w:rPr>
        <w:t>11. 《重点行业挥发性有机物综合治理方案》</w:t>
      </w:r>
    </w:p>
    <w:p>
      <w:pPr>
        <w:pStyle w:val="5"/>
        <w:ind w:firstLine="560"/>
        <w:rPr>
          <w:rFonts w:ascii="仿宋" w:hAnsi="仿宋" w:cs="宋体"/>
        </w:rPr>
      </w:pPr>
      <w:r>
        <w:rPr>
          <w:rFonts w:hint="eastAsia" w:ascii="仿宋" w:hAnsi="仿宋" w:cs="宋体"/>
        </w:rPr>
        <w:t>12. 《“十三五”挥发性有机物污染防治工作方案》</w:t>
      </w:r>
    </w:p>
    <w:p>
      <w:pPr>
        <w:pStyle w:val="5"/>
        <w:ind w:firstLine="560"/>
        <w:rPr>
          <w:rFonts w:ascii="仿宋" w:hAnsi="仿宋" w:cs="宋体"/>
        </w:rPr>
      </w:pPr>
      <w:r>
        <w:rPr>
          <w:rFonts w:hint="eastAsia" w:ascii="仿宋" w:hAnsi="仿宋" w:cs="宋体"/>
        </w:rPr>
        <w:t>13. 《工业炉窑大气污染综合治理方案》</w:t>
      </w:r>
    </w:p>
    <w:p>
      <w:pPr>
        <w:pStyle w:val="5"/>
        <w:ind w:firstLine="560"/>
        <w:rPr>
          <w:rFonts w:ascii="仿宋" w:hAnsi="仿宋" w:cs="宋体"/>
        </w:rPr>
      </w:pPr>
      <w:r>
        <w:rPr>
          <w:rFonts w:hint="eastAsia" w:ascii="仿宋" w:hAnsi="仿宋" w:cs="宋体"/>
        </w:rPr>
        <w:t>14. 《环境空气质量标准》（GB3098-2012）</w:t>
      </w:r>
    </w:p>
    <w:p>
      <w:pPr>
        <w:pStyle w:val="5"/>
        <w:ind w:firstLine="560"/>
        <w:rPr>
          <w:rFonts w:ascii="仿宋" w:hAnsi="仿宋" w:cs="宋体"/>
        </w:rPr>
      </w:pPr>
      <w:r>
        <w:rPr>
          <w:rFonts w:hint="eastAsia" w:ascii="仿宋" w:hAnsi="仿宋" w:cs="宋体"/>
        </w:rPr>
        <w:t>15. 《环境空气质量指数（AQI）技术规定（试行）》（HJ633-2012）</w:t>
      </w:r>
    </w:p>
    <w:p>
      <w:pPr>
        <w:pStyle w:val="5"/>
        <w:ind w:firstLine="560"/>
        <w:rPr>
          <w:rFonts w:ascii="仿宋" w:hAnsi="仿宋" w:cs="宋体"/>
        </w:rPr>
      </w:pPr>
      <w:r>
        <w:rPr>
          <w:rFonts w:hint="eastAsia" w:ascii="仿宋" w:hAnsi="仿宋" w:cs="宋体"/>
        </w:rPr>
        <w:t>16. 《“十四五”空气质量改善规划编制技术大纲》</w:t>
      </w:r>
    </w:p>
    <w:p>
      <w:pPr>
        <w:pStyle w:val="5"/>
        <w:ind w:firstLine="560"/>
        <w:rPr>
          <w:rFonts w:ascii="仿宋" w:hAnsi="仿宋" w:cs="宋体"/>
        </w:rPr>
      </w:pPr>
      <w:r>
        <w:rPr>
          <w:rFonts w:hint="eastAsia" w:ascii="仿宋" w:hAnsi="仿宋" w:cs="宋体"/>
        </w:rPr>
        <w:t>17. 各类大气污染物排放标准</w:t>
      </w:r>
    </w:p>
    <w:p>
      <w:pPr>
        <w:pStyle w:val="5"/>
        <w:ind w:firstLine="560"/>
        <w:rPr>
          <w:rFonts w:ascii="仿宋" w:hAnsi="仿宋" w:cs="宋体"/>
        </w:rPr>
      </w:pPr>
      <w:r>
        <w:rPr>
          <w:rFonts w:hint="eastAsia" w:ascii="仿宋" w:hAnsi="仿宋" w:cs="宋体"/>
        </w:rPr>
        <w:t>18. 《吉林省大气污染防治条例》</w:t>
      </w:r>
    </w:p>
    <w:p>
      <w:pPr>
        <w:pStyle w:val="5"/>
        <w:ind w:firstLine="560"/>
        <w:rPr>
          <w:rFonts w:ascii="仿宋" w:hAnsi="仿宋" w:cs="宋体"/>
        </w:rPr>
      </w:pPr>
      <w:r>
        <w:rPr>
          <w:rFonts w:hint="eastAsia" w:ascii="仿宋" w:hAnsi="仿宋" w:cs="宋体"/>
        </w:rPr>
        <w:t>19. 《吉林省大气污染防治行动计划》</w:t>
      </w:r>
    </w:p>
    <w:p>
      <w:pPr>
        <w:pStyle w:val="5"/>
        <w:ind w:firstLine="560"/>
        <w:rPr>
          <w:rFonts w:ascii="仿宋" w:hAnsi="仿宋" w:cs="宋体"/>
        </w:rPr>
      </w:pPr>
      <w:r>
        <w:rPr>
          <w:rFonts w:hint="eastAsia" w:ascii="仿宋" w:hAnsi="仿宋" w:cs="宋体"/>
        </w:rPr>
        <w:t>20. 《吉林省落实柴油货车污染治理攻坚战行动计划实施方案》</w:t>
      </w:r>
    </w:p>
    <w:p>
      <w:pPr>
        <w:pStyle w:val="5"/>
        <w:ind w:firstLine="560"/>
        <w:rPr>
          <w:rFonts w:ascii="仿宋" w:hAnsi="仿宋" w:cs="宋体"/>
        </w:rPr>
      </w:pPr>
      <w:r>
        <w:rPr>
          <w:rFonts w:hint="eastAsia" w:ascii="仿宋" w:hAnsi="仿宋" w:cs="宋体"/>
        </w:rPr>
        <w:t>21. 《吉林省落实推进运输结构调整三年行动计划（2018—2020年）实施方案》</w:t>
      </w:r>
    </w:p>
    <w:p>
      <w:pPr>
        <w:pStyle w:val="5"/>
        <w:ind w:firstLine="560"/>
        <w:rPr>
          <w:rFonts w:ascii="仿宋" w:hAnsi="仿宋" w:cs="宋体"/>
        </w:rPr>
      </w:pPr>
      <w:r>
        <w:rPr>
          <w:rFonts w:hint="eastAsia" w:ascii="仿宋" w:hAnsi="仿宋" w:cs="宋体"/>
        </w:rPr>
        <w:t>22.</w:t>
      </w:r>
      <w:r>
        <w:rPr>
          <w:rFonts w:ascii="仿宋" w:hAnsi="仿宋" w:cs="宋体"/>
        </w:rPr>
        <w:t xml:space="preserve"> </w:t>
      </w:r>
      <w:r>
        <w:rPr>
          <w:rFonts w:hint="eastAsia" w:ascii="仿宋" w:hAnsi="仿宋" w:cs="宋体"/>
        </w:rPr>
        <w:t>《吉林省空气质量巩固提升行动方案》</w:t>
      </w:r>
    </w:p>
    <w:p>
      <w:pPr>
        <w:pStyle w:val="5"/>
        <w:ind w:firstLine="560"/>
        <w:rPr>
          <w:rFonts w:ascii="仿宋" w:hAnsi="仿宋" w:cs="宋体"/>
        </w:rPr>
      </w:pPr>
      <w:r>
        <w:rPr>
          <w:rFonts w:hint="eastAsia" w:ascii="仿宋" w:hAnsi="仿宋" w:cs="宋体"/>
        </w:rPr>
        <w:t>23. 《长春市挥发性有机物污染防治工作实施方案》</w:t>
      </w:r>
    </w:p>
    <w:p>
      <w:pPr>
        <w:pStyle w:val="5"/>
        <w:ind w:firstLine="560"/>
        <w:rPr>
          <w:rFonts w:ascii="仿宋" w:hAnsi="仿宋" w:cs="宋体"/>
        </w:rPr>
      </w:pPr>
      <w:r>
        <w:rPr>
          <w:rFonts w:hint="eastAsia" w:ascii="仿宋" w:hAnsi="仿宋" w:cs="宋体"/>
        </w:rPr>
        <w:t>24. 《长春市打赢蓝天保卫战三年行动计划》</w:t>
      </w:r>
    </w:p>
    <w:p>
      <w:pPr>
        <w:pStyle w:val="5"/>
        <w:ind w:firstLine="560"/>
        <w:rPr>
          <w:rFonts w:ascii="仿宋" w:hAnsi="仿宋" w:cs="宋体"/>
        </w:rPr>
      </w:pPr>
      <w:r>
        <w:rPr>
          <w:rFonts w:hint="eastAsia" w:ascii="仿宋" w:hAnsi="仿宋" w:cs="宋体"/>
        </w:rPr>
        <w:t>25. 《长春市决胜2020污染防治攻坚战实施方案》</w:t>
      </w:r>
    </w:p>
    <w:p>
      <w:pPr>
        <w:pStyle w:val="5"/>
        <w:ind w:firstLine="560"/>
        <w:rPr>
          <w:rFonts w:ascii="仿宋" w:hAnsi="仿宋"/>
        </w:rPr>
      </w:pPr>
    </w:p>
    <w:p>
      <w:pPr>
        <w:pStyle w:val="3"/>
        <w:rPr>
          <w:rFonts w:ascii="仿宋" w:hAnsi="仿宋" w:eastAsia="仿宋"/>
        </w:rPr>
      </w:pPr>
      <w:bookmarkStart w:id="20" w:name="_Toc5892"/>
      <w:r>
        <w:rPr>
          <w:rFonts w:hint="eastAsia"/>
        </w:rPr>
        <w:fldChar w:fldCharType="begin"/>
      </w:r>
      <w:r>
        <w:instrText xml:space="preserve"> HYPERLINK \l "_Toc13109" </w:instrText>
      </w:r>
      <w:r>
        <w:rPr>
          <w:rFonts w:hint="eastAsia"/>
        </w:rPr>
        <w:fldChar w:fldCharType="separate"/>
      </w:r>
      <w:r>
        <w:rPr>
          <w:rFonts w:hint="eastAsia" w:ascii="仿宋" w:hAnsi="仿宋" w:eastAsia="仿宋"/>
        </w:rPr>
        <w:t>（三）</w:t>
      </w:r>
      <w:r>
        <w:rPr>
          <w:rFonts w:hint="eastAsia" w:ascii="仿宋" w:hAnsi="仿宋" w:eastAsia="仿宋"/>
        </w:rPr>
        <w:fldChar w:fldCharType="end"/>
      </w:r>
      <w:r>
        <w:rPr>
          <w:rFonts w:hint="eastAsia" w:ascii="仿宋" w:hAnsi="仿宋" w:eastAsia="仿宋"/>
        </w:rPr>
        <w:t>指导思想</w:t>
      </w:r>
      <w:bookmarkEnd w:id="20"/>
    </w:p>
    <w:p>
      <w:pPr>
        <w:pStyle w:val="5"/>
        <w:ind w:firstLine="560"/>
        <w:rPr>
          <w:rFonts w:ascii="仿宋" w:hAnsi="仿宋"/>
        </w:rPr>
      </w:pPr>
      <w:r>
        <w:rPr>
          <w:rFonts w:hint="eastAsia" w:ascii="仿宋" w:hAnsi="仿宋"/>
        </w:rPr>
        <w:t>以习近平新时代中国特色社会主义思想为指导，全面贯彻党的十九大和十九届二中、三中、四中、五中全会精神，认真贯彻习近平总书记考察吉林重要讲话指示精神，坚定新发展理念。以改善大气环境质量为核心，以重大减排项目工程为依托，坚持问题导向与目标引领，突出精准治污、科学治污、依法治污，聚焦影响环境质量的主要污染物，加强PM</w:t>
      </w:r>
      <w:r>
        <w:rPr>
          <w:rFonts w:hint="eastAsia" w:ascii="仿宋" w:hAnsi="仿宋"/>
          <w:vertAlign w:val="subscript"/>
        </w:rPr>
        <w:t>2.5</w:t>
      </w:r>
      <w:r>
        <w:rPr>
          <w:rFonts w:hint="eastAsia" w:ascii="仿宋" w:hAnsi="仿宋"/>
        </w:rPr>
        <w:t>与O</w:t>
      </w:r>
      <w:r>
        <w:rPr>
          <w:rFonts w:hint="eastAsia" w:ascii="仿宋" w:hAnsi="仿宋"/>
          <w:vertAlign w:val="subscript"/>
        </w:rPr>
        <w:t>3</w:t>
      </w:r>
      <w:r>
        <w:rPr>
          <w:rFonts w:hint="eastAsia" w:ascii="仿宋" w:hAnsi="仿宋"/>
        </w:rPr>
        <w:t>协同控制，加强大气污染物与温室气体协同减排，推进大气环境管理体系和治理能力现代化。统筹运用源头防控、结构优化、末端治理等手段，推动产业结构、能源结构、交通运输结构调整和污染源深度治理，实施重点领域、重点行业减排工程，着力推进多污染物协同减排，大幅降低主要污染物排放总量，构建政府主导、企业主体、市场调节、公众参与的污染减排格局，为促进生态环境质量持续改善、推进生态文明建设提供有力支撑。</w:t>
      </w:r>
    </w:p>
    <w:p>
      <w:pPr>
        <w:pStyle w:val="3"/>
        <w:spacing w:before="0" w:after="0"/>
        <w:rPr>
          <w:rFonts w:ascii="仿宋" w:hAnsi="仿宋" w:eastAsia="仿宋"/>
        </w:rPr>
      </w:pPr>
      <w:bookmarkStart w:id="21" w:name="_Toc26243"/>
      <w:r>
        <w:rPr>
          <w:rFonts w:hint="eastAsia" w:ascii="仿宋" w:hAnsi="仿宋" w:eastAsia="仿宋"/>
        </w:rPr>
        <w:t>（四）总体目标</w:t>
      </w:r>
      <w:bookmarkEnd w:id="21"/>
    </w:p>
    <w:p>
      <w:pPr>
        <w:pStyle w:val="24"/>
        <w:tabs>
          <w:tab w:val="right" w:leader="dot" w:pos="8844"/>
        </w:tabs>
        <w:ind w:left="0" w:leftChars="0" w:firstLine="560" w:firstLineChars="200"/>
        <w:rPr>
          <w:rStyle w:val="20"/>
          <w:rFonts w:ascii="仿宋" w:hAnsi="仿宋"/>
          <w:b w:val="0"/>
          <w:bCs w:val="0"/>
        </w:rPr>
      </w:pPr>
      <w:r>
        <w:rPr>
          <w:rStyle w:val="20"/>
          <w:rFonts w:hint="eastAsia" w:ascii="仿宋" w:hAnsi="仿宋"/>
          <w:b w:val="0"/>
          <w:bCs w:val="0"/>
        </w:rPr>
        <w:t>总体目标：到 2025 年，全面建立以改善环境质量为核心的大气环境管理体系；大气环境质量显著改善；大气污染物排放总量大幅减少；各项污染物浓度全部达标；优良天数比例稳步提升；重污染天数下降。</w:t>
      </w:r>
    </w:p>
    <w:p>
      <w:pPr>
        <w:pStyle w:val="24"/>
        <w:tabs>
          <w:tab w:val="right" w:leader="dot" w:pos="8844"/>
        </w:tabs>
        <w:ind w:left="0" w:leftChars="0" w:firstLine="560" w:firstLineChars="200"/>
        <w:rPr>
          <w:rStyle w:val="20"/>
          <w:rFonts w:ascii="仿宋" w:hAnsi="仿宋"/>
          <w:b w:val="0"/>
          <w:bCs w:val="0"/>
        </w:rPr>
      </w:pPr>
      <w:r>
        <w:rPr>
          <w:rStyle w:val="20"/>
          <w:rFonts w:ascii="仿宋" w:hAnsi="仿宋"/>
          <w:b w:val="0"/>
          <w:bCs w:val="0"/>
        </w:rPr>
        <w:t>分项</w:t>
      </w:r>
      <w:r>
        <w:rPr>
          <w:rStyle w:val="20"/>
          <w:rFonts w:hint="eastAsia" w:ascii="仿宋" w:hAnsi="仿宋"/>
          <w:b w:val="0"/>
          <w:bCs w:val="0"/>
        </w:rPr>
        <w:t>指标：为统筹推进各项环保工作，建立评价指标体系，共规划</w:t>
      </w:r>
      <w:r>
        <w:rPr>
          <w:rStyle w:val="20"/>
          <w:rFonts w:ascii="仿宋" w:hAnsi="仿宋"/>
          <w:b w:val="0"/>
          <w:bCs w:val="0"/>
        </w:rPr>
        <w:t>9</w:t>
      </w:r>
      <w:r>
        <w:rPr>
          <w:rStyle w:val="20"/>
          <w:rFonts w:hint="eastAsia" w:ascii="仿宋" w:hAnsi="仿宋"/>
          <w:b w:val="0"/>
          <w:bCs w:val="0"/>
        </w:rPr>
        <w:t>项分项指标</w:t>
      </w:r>
    </w:p>
    <w:p>
      <w:pPr>
        <w:pStyle w:val="24"/>
        <w:tabs>
          <w:tab w:val="right" w:leader="dot" w:pos="8844"/>
        </w:tabs>
        <w:ind w:left="420"/>
        <w:jc w:val="center"/>
        <w:rPr>
          <w:rStyle w:val="20"/>
          <w:rFonts w:ascii="仿宋" w:hAnsi="仿宋"/>
          <w:b w:val="0"/>
          <w:bCs w:val="0"/>
        </w:rPr>
      </w:pPr>
      <w:r>
        <w:rPr>
          <w:rStyle w:val="20"/>
          <w:rFonts w:hint="eastAsia" w:ascii="仿宋" w:hAnsi="仿宋"/>
          <w:b w:val="0"/>
          <w:bCs w:val="0"/>
        </w:rPr>
        <w:t>表2</w:t>
      </w:r>
      <w:r>
        <w:rPr>
          <w:rStyle w:val="20"/>
          <w:rFonts w:ascii="仿宋" w:hAnsi="仿宋"/>
          <w:b w:val="0"/>
          <w:bCs w:val="0"/>
        </w:rPr>
        <w:t xml:space="preserve">  </w:t>
      </w:r>
      <w:r>
        <w:rPr>
          <w:rStyle w:val="20"/>
          <w:rFonts w:hint="eastAsia" w:ascii="仿宋" w:hAnsi="仿宋"/>
          <w:b w:val="0"/>
          <w:bCs w:val="0"/>
        </w:rPr>
        <w:t>德惠市十四五大气规划分项指标</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656"/>
        <w:gridCol w:w="2427"/>
        <w:gridCol w:w="1640"/>
        <w:gridCol w:w="1312"/>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2575" w:type="pct"/>
            <w:gridSpan w:val="3"/>
            <w:vAlign w:val="center"/>
          </w:tcPr>
          <w:p>
            <w:pPr>
              <w:widowControl/>
              <w:jc w:val="left"/>
              <w:rPr>
                <w:rFonts w:ascii="仿宋" w:hAnsi="仿宋" w:eastAsia="仿宋" w:cs="仿宋"/>
                <w:kern w:val="0"/>
                <w:sz w:val="24"/>
                <w:lang w:val="zh-CN" w:bidi="zh-CN"/>
              </w:rPr>
            </w:pPr>
            <w:r>
              <w:rPr>
                <w:rFonts w:ascii="仿宋" w:hAnsi="仿宋" w:eastAsia="仿宋" w:cs="仿宋"/>
                <w:kern w:val="0"/>
                <w:sz w:val="24"/>
                <w:lang w:val="zh-CN" w:bidi="zh-CN"/>
              </w:rPr>
              <w:t>指  标</w:t>
            </w:r>
          </w:p>
        </w:tc>
        <w:tc>
          <w:tcPr>
            <w:tcW w:w="962" w:type="pct"/>
          </w:tcPr>
          <w:p>
            <w:pPr>
              <w:widowControl/>
              <w:jc w:val="left"/>
              <w:rPr>
                <w:rFonts w:ascii="仿宋" w:hAnsi="仿宋" w:eastAsia="仿宋" w:cs="仿宋"/>
                <w:kern w:val="0"/>
                <w:sz w:val="24"/>
                <w:lang w:val="zh-CN" w:bidi="zh-CN"/>
              </w:rPr>
            </w:pPr>
            <w:r>
              <w:rPr>
                <w:rFonts w:hint="eastAsia" w:ascii="仿宋" w:hAnsi="仿宋" w:eastAsia="仿宋" w:cs="仿宋"/>
                <w:kern w:val="0"/>
                <w:sz w:val="24"/>
                <w:lang w:val="zh-CN" w:bidi="zh-CN"/>
              </w:rPr>
              <w:t>“十三五”规划指标</w:t>
            </w:r>
          </w:p>
        </w:tc>
        <w:tc>
          <w:tcPr>
            <w:tcW w:w="770" w:type="pct"/>
            <w:vAlign w:val="center"/>
          </w:tcPr>
          <w:p>
            <w:pPr>
              <w:widowControl/>
              <w:jc w:val="left"/>
              <w:rPr>
                <w:rFonts w:ascii="仿宋" w:hAnsi="仿宋" w:eastAsia="仿宋" w:cs="仿宋"/>
                <w:kern w:val="0"/>
                <w:sz w:val="24"/>
                <w:lang w:val="zh-CN" w:bidi="zh-CN"/>
              </w:rPr>
            </w:pPr>
            <w:r>
              <w:rPr>
                <w:rFonts w:ascii="仿宋" w:hAnsi="仿宋" w:eastAsia="仿宋" w:cs="仿宋"/>
                <w:kern w:val="0"/>
                <w:sz w:val="24"/>
                <w:lang w:val="zh-CN" w:bidi="zh-CN"/>
              </w:rPr>
              <w:t>2025年</w:t>
            </w:r>
          </w:p>
        </w:tc>
        <w:tc>
          <w:tcPr>
            <w:tcW w:w="693" w:type="pct"/>
            <w:vAlign w:val="center"/>
          </w:tcPr>
          <w:p>
            <w:pPr>
              <w:widowControl/>
              <w:jc w:val="left"/>
              <w:rPr>
                <w:rFonts w:ascii="仿宋" w:hAnsi="仿宋" w:eastAsia="仿宋" w:cs="仿宋"/>
                <w:kern w:val="0"/>
                <w:sz w:val="24"/>
                <w:lang w:val="zh-CN" w:bidi="zh-CN"/>
              </w:rPr>
            </w:pPr>
            <w:r>
              <w:rPr>
                <w:rFonts w:ascii="仿宋" w:hAnsi="仿宋" w:eastAsia="仿宋" w:cs="仿宋"/>
                <w:kern w:val="0"/>
                <w:sz w:val="24"/>
                <w:lang w:val="zh-CN" w:bidi="zh-CN"/>
              </w:rPr>
              <w:t>指标</w:t>
            </w:r>
          </w:p>
          <w:p>
            <w:pPr>
              <w:widowControl/>
              <w:jc w:val="left"/>
              <w:rPr>
                <w:rFonts w:ascii="仿宋" w:hAnsi="仿宋" w:eastAsia="仿宋" w:cs="仿宋"/>
                <w:kern w:val="0"/>
                <w:sz w:val="24"/>
                <w:lang w:val="zh-CN" w:bidi="zh-CN"/>
              </w:rPr>
            </w:pPr>
            <w:r>
              <w:rPr>
                <w:rFonts w:ascii="仿宋" w:hAnsi="仿宋" w:eastAsia="仿宋" w:cs="仿宋"/>
                <w:kern w:val="0"/>
                <w:sz w:val="24"/>
                <w:lang w:val="zh-CN" w:bidi="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6" w:type="pct"/>
            <w:vMerge w:val="restart"/>
            <w:vAlign w:val="center"/>
          </w:tcPr>
          <w:p>
            <w:pPr>
              <w:widowControl/>
              <w:jc w:val="left"/>
              <w:rPr>
                <w:rFonts w:ascii="仿宋" w:hAnsi="仿宋" w:eastAsia="仿宋" w:cs="仿宋"/>
                <w:kern w:val="0"/>
                <w:sz w:val="24"/>
                <w:lang w:val="zh-CN" w:bidi="zh-CN"/>
              </w:rPr>
            </w:pPr>
            <w:r>
              <w:rPr>
                <w:rFonts w:ascii="仿宋" w:hAnsi="仿宋" w:eastAsia="仿宋" w:cs="仿宋"/>
                <w:kern w:val="0"/>
                <w:sz w:val="24"/>
                <w:lang w:val="zh-CN" w:bidi="zh-CN"/>
              </w:rPr>
              <w:t>空气质量</w:t>
            </w:r>
            <w:r>
              <w:rPr>
                <w:rFonts w:hint="eastAsia" w:ascii="仿宋" w:hAnsi="仿宋" w:eastAsia="仿宋" w:cs="仿宋"/>
                <w:kern w:val="0"/>
                <w:sz w:val="24"/>
                <w:lang w:val="zh-CN" w:bidi="zh-CN"/>
              </w:rPr>
              <w:t>改善</w:t>
            </w:r>
            <w:r>
              <w:rPr>
                <w:rFonts w:ascii="仿宋" w:hAnsi="仿宋" w:eastAsia="仿宋" w:cs="仿宋"/>
                <w:kern w:val="0"/>
                <w:sz w:val="24"/>
                <w:lang w:val="zh-CN" w:bidi="zh-CN"/>
              </w:rPr>
              <w:t>指标</w:t>
            </w:r>
          </w:p>
        </w:tc>
        <w:tc>
          <w:tcPr>
            <w:tcW w:w="385" w:type="pct"/>
            <w:vAlign w:val="center"/>
          </w:tcPr>
          <w:p>
            <w:pPr>
              <w:widowControl/>
              <w:jc w:val="center"/>
              <w:rPr>
                <w:rFonts w:ascii="仿宋" w:hAnsi="仿宋" w:eastAsia="仿宋" w:cs="仿宋"/>
                <w:kern w:val="0"/>
                <w:sz w:val="24"/>
                <w:lang w:val="zh-CN" w:bidi="zh-CN"/>
              </w:rPr>
            </w:pPr>
            <w:r>
              <w:rPr>
                <w:rFonts w:ascii="仿宋" w:hAnsi="仿宋" w:eastAsia="仿宋" w:cs="仿宋"/>
                <w:kern w:val="0"/>
                <w:sz w:val="24"/>
                <w:lang w:val="zh-CN" w:bidi="zh-CN"/>
              </w:rPr>
              <w:t>1</w:t>
            </w:r>
          </w:p>
        </w:tc>
        <w:tc>
          <w:tcPr>
            <w:tcW w:w="1424" w:type="pct"/>
            <w:vAlign w:val="center"/>
          </w:tcPr>
          <w:p>
            <w:pPr>
              <w:widowControl/>
              <w:jc w:val="left"/>
              <w:rPr>
                <w:rFonts w:ascii="仿宋" w:hAnsi="仿宋" w:eastAsia="仿宋" w:cs="仿宋"/>
                <w:kern w:val="0"/>
                <w:sz w:val="24"/>
                <w:lang w:val="zh-CN" w:bidi="zh-CN"/>
              </w:rPr>
            </w:pPr>
            <w:r>
              <w:rPr>
                <w:rFonts w:ascii="仿宋" w:hAnsi="仿宋" w:eastAsia="仿宋" w:cs="仿宋"/>
                <w:kern w:val="0"/>
                <w:sz w:val="24"/>
                <w:lang w:val="zh-CN" w:bidi="zh-CN"/>
              </w:rPr>
              <w:t>细颗粒物（PM2.5）浓度（µg/m</w:t>
            </w:r>
            <w:r>
              <w:rPr>
                <w:rFonts w:ascii="仿宋" w:hAnsi="仿宋" w:eastAsia="仿宋" w:cs="仿宋"/>
                <w:kern w:val="0"/>
                <w:sz w:val="24"/>
                <w:vertAlign w:val="superscript"/>
                <w:lang w:val="zh-CN" w:bidi="zh-CN"/>
              </w:rPr>
              <w:t>3</w:t>
            </w:r>
            <w:r>
              <w:rPr>
                <w:rFonts w:ascii="仿宋" w:hAnsi="仿宋" w:eastAsia="仿宋" w:cs="仿宋"/>
                <w:kern w:val="0"/>
                <w:sz w:val="24"/>
                <w:lang w:val="zh-CN" w:bidi="zh-CN"/>
              </w:rPr>
              <w:t>）</w:t>
            </w:r>
          </w:p>
        </w:tc>
        <w:tc>
          <w:tcPr>
            <w:tcW w:w="962" w:type="pct"/>
            <w:vAlign w:val="center"/>
          </w:tcPr>
          <w:p>
            <w:pPr>
              <w:widowControl/>
              <w:jc w:val="left"/>
              <w:rPr>
                <w:rFonts w:ascii="仿宋" w:hAnsi="仿宋" w:eastAsia="仿宋" w:cs="仿宋"/>
                <w:kern w:val="0"/>
                <w:sz w:val="24"/>
                <w:lang w:bidi="zh-CN"/>
              </w:rPr>
            </w:pPr>
            <w:r>
              <w:rPr>
                <w:rFonts w:hint="eastAsia" w:ascii="仿宋" w:hAnsi="仿宋" w:eastAsia="仿宋" w:cs="仿宋"/>
                <w:kern w:val="0"/>
                <w:sz w:val="24"/>
                <w:lang w:bidi="zh-CN"/>
              </w:rPr>
              <w:t>38</w:t>
            </w:r>
          </w:p>
        </w:tc>
        <w:tc>
          <w:tcPr>
            <w:tcW w:w="770" w:type="pct"/>
            <w:vAlign w:val="center"/>
          </w:tcPr>
          <w:p>
            <w:pPr>
              <w:widowControl/>
              <w:jc w:val="left"/>
              <w:rPr>
                <w:rFonts w:ascii="仿宋" w:hAnsi="仿宋" w:eastAsia="仿宋" w:cs="仿宋"/>
                <w:kern w:val="0"/>
                <w:sz w:val="24"/>
                <w:lang w:bidi="zh-CN"/>
              </w:rPr>
            </w:pPr>
            <w:r>
              <w:rPr>
                <w:rFonts w:hint="eastAsia" w:ascii="仿宋" w:hAnsi="仿宋" w:eastAsia="仿宋" w:cs="仿宋"/>
                <w:kern w:val="0"/>
                <w:sz w:val="24"/>
                <w:lang w:bidi="zh-CN"/>
              </w:rPr>
              <w:t>35</w:t>
            </w:r>
          </w:p>
        </w:tc>
        <w:tc>
          <w:tcPr>
            <w:tcW w:w="693" w:type="pct"/>
            <w:vAlign w:val="center"/>
          </w:tcPr>
          <w:p>
            <w:pPr>
              <w:widowControl/>
              <w:jc w:val="left"/>
              <w:rPr>
                <w:rFonts w:ascii="仿宋" w:hAnsi="仿宋" w:eastAsia="仿宋" w:cs="仿宋"/>
                <w:kern w:val="0"/>
                <w:sz w:val="24"/>
                <w:lang w:val="zh-CN" w:bidi="zh-CN"/>
              </w:rPr>
            </w:pPr>
            <w:r>
              <w:rPr>
                <w:rFonts w:ascii="仿宋" w:hAnsi="仿宋" w:eastAsia="仿宋" w:cs="仿宋"/>
                <w:kern w:val="0"/>
                <w:sz w:val="24"/>
                <w:lang w:val="zh-CN" w:bidi="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6" w:type="pct"/>
            <w:vMerge w:val="continue"/>
            <w:vAlign w:val="center"/>
          </w:tcPr>
          <w:p>
            <w:pPr>
              <w:widowControl/>
              <w:jc w:val="center"/>
              <w:rPr>
                <w:rFonts w:ascii="仿宋" w:hAnsi="仿宋" w:eastAsia="仿宋" w:cs="仿宋"/>
                <w:kern w:val="0"/>
                <w:sz w:val="24"/>
                <w:lang w:val="zh-CN" w:bidi="zh-CN"/>
              </w:rPr>
            </w:pPr>
          </w:p>
        </w:tc>
        <w:tc>
          <w:tcPr>
            <w:tcW w:w="385" w:type="pct"/>
            <w:vAlign w:val="center"/>
          </w:tcPr>
          <w:p>
            <w:pPr>
              <w:widowControl/>
              <w:jc w:val="center"/>
              <w:rPr>
                <w:rFonts w:ascii="仿宋" w:hAnsi="仿宋" w:eastAsia="仿宋" w:cs="仿宋"/>
                <w:kern w:val="0"/>
                <w:sz w:val="24"/>
                <w:lang w:val="zh-CN" w:bidi="zh-CN"/>
              </w:rPr>
            </w:pPr>
            <w:r>
              <w:rPr>
                <w:rFonts w:ascii="仿宋" w:hAnsi="仿宋" w:eastAsia="仿宋" w:cs="仿宋"/>
                <w:kern w:val="0"/>
                <w:sz w:val="24"/>
                <w:lang w:val="zh-CN" w:bidi="zh-CN"/>
              </w:rPr>
              <w:t>2</w:t>
            </w:r>
          </w:p>
        </w:tc>
        <w:tc>
          <w:tcPr>
            <w:tcW w:w="1424" w:type="pct"/>
            <w:vAlign w:val="center"/>
          </w:tcPr>
          <w:p>
            <w:pPr>
              <w:widowControl/>
              <w:jc w:val="left"/>
              <w:rPr>
                <w:rFonts w:ascii="仿宋" w:hAnsi="仿宋" w:eastAsia="仿宋" w:cs="仿宋"/>
                <w:kern w:val="0"/>
                <w:sz w:val="24"/>
                <w:lang w:val="zh-CN" w:bidi="zh-CN"/>
              </w:rPr>
            </w:pPr>
            <w:r>
              <w:rPr>
                <w:rFonts w:ascii="仿宋" w:hAnsi="仿宋" w:eastAsia="仿宋" w:cs="仿宋"/>
                <w:kern w:val="0"/>
                <w:sz w:val="24"/>
                <w:lang w:val="zh-CN" w:bidi="zh-CN"/>
              </w:rPr>
              <w:t>空气质量优良天数比例（%）</w:t>
            </w:r>
          </w:p>
        </w:tc>
        <w:tc>
          <w:tcPr>
            <w:tcW w:w="962" w:type="pct"/>
            <w:vAlign w:val="center"/>
          </w:tcPr>
          <w:p>
            <w:pPr>
              <w:widowControl/>
              <w:jc w:val="left"/>
              <w:rPr>
                <w:rFonts w:ascii="仿宋" w:hAnsi="仿宋" w:eastAsia="仿宋" w:cs="仿宋"/>
                <w:kern w:val="0"/>
                <w:sz w:val="24"/>
                <w:lang w:val="zh-CN" w:bidi="zh-CN"/>
              </w:rPr>
            </w:pPr>
            <w:r>
              <w:rPr>
                <w:rFonts w:hint="eastAsia" w:ascii="仿宋" w:hAnsi="仿宋" w:eastAsia="仿宋" w:cs="仿宋"/>
                <w:kern w:val="0"/>
                <w:sz w:val="24"/>
                <w:lang w:val="zh-CN" w:bidi="zh-CN"/>
              </w:rPr>
              <w:t>≥8</w:t>
            </w:r>
            <w:r>
              <w:rPr>
                <w:rFonts w:ascii="仿宋" w:hAnsi="仿宋" w:eastAsia="仿宋" w:cs="仿宋"/>
                <w:kern w:val="0"/>
                <w:sz w:val="24"/>
                <w:lang w:val="zh-CN" w:bidi="zh-CN"/>
              </w:rPr>
              <w:t>0</w:t>
            </w:r>
          </w:p>
        </w:tc>
        <w:tc>
          <w:tcPr>
            <w:tcW w:w="770" w:type="pct"/>
            <w:vAlign w:val="center"/>
          </w:tcPr>
          <w:p>
            <w:pPr>
              <w:widowControl/>
              <w:jc w:val="left"/>
              <w:rPr>
                <w:rFonts w:ascii="仿宋" w:hAnsi="仿宋" w:eastAsia="仿宋" w:cs="仿宋"/>
                <w:kern w:val="0"/>
                <w:sz w:val="24"/>
                <w:lang w:bidi="zh-CN"/>
              </w:rPr>
            </w:pPr>
            <w:r>
              <w:rPr>
                <w:rFonts w:hint="eastAsia" w:ascii="仿宋" w:hAnsi="仿宋" w:eastAsia="仿宋" w:cs="仿宋"/>
                <w:kern w:val="0"/>
                <w:sz w:val="24"/>
                <w:lang w:bidi="zh-CN"/>
              </w:rPr>
              <w:t>85</w:t>
            </w:r>
          </w:p>
        </w:tc>
        <w:tc>
          <w:tcPr>
            <w:tcW w:w="693" w:type="pct"/>
            <w:vAlign w:val="center"/>
          </w:tcPr>
          <w:p>
            <w:pPr>
              <w:widowControl/>
              <w:jc w:val="left"/>
              <w:rPr>
                <w:rFonts w:ascii="仿宋" w:hAnsi="仿宋" w:eastAsia="仿宋" w:cs="仿宋"/>
                <w:kern w:val="0"/>
                <w:sz w:val="24"/>
                <w:lang w:val="zh-CN" w:bidi="zh-CN"/>
              </w:rPr>
            </w:pPr>
            <w:r>
              <w:rPr>
                <w:rFonts w:ascii="仿宋" w:hAnsi="仿宋" w:eastAsia="仿宋" w:cs="仿宋"/>
                <w:kern w:val="0"/>
                <w:sz w:val="24"/>
                <w:lang w:val="zh-CN" w:bidi="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6" w:type="pct"/>
            <w:vMerge w:val="continue"/>
            <w:vAlign w:val="center"/>
          </w:tcPr>
          <w:p>
            <w:pPr>
              <w:widowControl/>
              <w:jc w:val="center"/>
              <w:rPr>
                <w:rFonts w:ascii="仿宋" w:hAnsi="仿宋" w:eastAsia="仿宋" w:cs="仿宋"/>
                <w:kern w:val="0"/>
                <w:sz w:val="24"/>
                <w:lang w:val="zh-CN" w:bidi="zh-CN"/>
              </w:rPr>
            </w:pPr>
          </w:p>
        </w:tc>
        <w:tc>
          <w:tcPr>
            <w:tcW w:w="385" w:type="pct"/>
            <w:vAlign w:val="center"/>
          </w:tcPr>
          <w:p>
            <w:pPr>
              <w:widowControl/>
              <w:jc w:val="center"/>
              <w:rPr>
                <w:rFonts w:ascii="仿宋" w:hAnsi="仿宋" w:eastAsia="仿宋" w:cs="仿宋"/>
                <w:kern w:val="0"/>
                <w:sz w:val="24"/>
                <w:lang w:val="zh-CN" w:bidi="zh-CN"/>
              </w:rPr>
            </w:pPr>
            <w:r>
              <w:rPr>
                <w:rFonts w:ascii="仿宋" w:hAnsi="仿宋" w:eastAsia="仿宋" w:cs="仿宋"/>
                <w:kern w:val="0"/>
                <w:sz w:val="24"/>
                <w:lang w:val="zh-CN" w:bidi="zh-CN"/>
              </w:rPr>
              <w:t>3</w:t>
            </w:r>
          </w:p>
        </w:tc>
        <w:tc>
          <w:tcPr>
            <w:tcW w:w="1424" w:type="pct"/>
            <w:vAlign w:val="center"/>
          </w:tcPr>
          <w:p>
            <w:pPr>
              <w:widowControl/>
              <w:jc w:val="left"/>
              <w:rPr>
                <w:rFonts w:ascii="仿宋" w:hAnsi="仿宋" w:eastAsia="仿宋" w:cs="仿宋"/>
                <w:kern w:val="0"/>
                <w:sz w:val="24"/>
                <w:lang w:val="zh-CN" w:bidi="zh-CN"/>
              </w:rPr>
            </w:pPr>
            <w:r>
              <w:rPr>
                <w:rFonts w:ascii="仿宋" w:hAnsi="仿宋" w:eastAsia="仿宋" w:cs="仿宋"/>
                <w:kern w:val="0"/>
                <w:sz w:val="24"/>
                <w:lang w:val="zh-CN" w:bidi="zh-CN"/>
              </w:rPr>
              <w:t>空气质量重度及以上污染天数</w:t>
            </w:r>
          </w:p>
        </w:tc>
        <w:tc>
          <w:tcPr>
            <w:tcW w:w="962" w:type="pct"/>
            <w:vAlign w:val="center"/>
          </w:tcPr>
          <w:p>
            <w:pPr>
              <w:widowControl/>
              <w:jc w:val="left"/>
              <w:rPr>
                <w:rFonts w:ascii="仿宋" w:hAnsi="仿宋" w:eastAsia="仿宋" w:cs="仿宋"/>
                <w:kern w:val="0"/>
                <w:sz w:val="24"/>
                <w:lang w:val="zh-CN" w:bidi="zh-CN"/>
              </w:rPr>
            </w:pPr>
            <w:r>
              <w:rPr>
                <w:rFonts w:hint="eastAsia" w:ascii="仿宋" w:hAnsi="仿宋" w:eastAsia="仿宋" w:cs="仿宋"/>
                <w:kern w:val="0"/>
                <w:sz w:val="24"/>
                <w:lang w:val="zh-CN" w:bidi="zh-CN"/>
              </w:rPr>
              <w:t>2</w:t>
            </w:r>
            <w:r>
              <w:rPr>
                <w:rFonts w:ascii="仿宋" w:hAnsi="仿宋" w:eastAsia="仿宋" w:cs="仿宋"/>
                <w:kern w:val="0"/>
                <w:sz w:val="24"/>
                <w:lang w:val="zh-CN" w:bidi="zh-CN"/>
              </w:rPr>
              <w:t>5</w:t>
            </w:r>
            <w:r>
              <w:rPr>
                <w:rFonts w:hint="eastAsia" w:ascii="仿宋" w:hAnsi="仿宋" w:eastAsia="仿宋" w:cs="仿宋"/>
                <w:kern w:val="0"/>
                <w:sz w:val="24"/>
                <w:lang w:val="zh-CN" w:bidi="zh-CN"/>
              </w:rPr>
              <w:t>（5年累计下降）</w:t>
            </w:r>
          </w:p>
        </w:tc>
        <w:tc>
          <w:tcPr>
            <w:tcW w:w="770" w:type="pct"/>
            <w:vAlign w:val="center"/>
          </w:tcPr>
          <w:p>
            <w:pPr>
              <w:widowControl/>
              <w:jc w:val="left"/>
              <w:rPr>
                <w:rFonts w:ascii="仿宋" w:hAnsi="仿宋" w:eastAsia="仿宋" w:cs="仿宋"/>
                <w:kern w:val="0"/>
                <w:sz w:val="24"/>
                <w:lang w:val="zh-CN" w:bidi="zh-CN"/>
              </w:rPr>
            </w:pPr>
            <w:r>
              <w:rPr>
                <w:rFonts w:hint="eastAsia" w:ascii="仿宋" w:hAnsi="仿宋" w:eastAsia="仿宋" w:cs="仿宋"/>
                <w:kern w:val="0"/>
                <w:sz w:val="24"/>
                <w:lang w:bidi="zh-CN"/>
              </w:rPr>
              <w:t>5</w:t>
            </w:r>
          </w:p>
        </w:tc>
        <w:tc>
          <w:tcPr>
            <w:tcW w:w="693" w:type="pct"/>
            <w:vAlign w:val="center"/>
          </w:tcPr>
          <w:p>
            <w:pPr>
              <w:widowControl/>
              <w:jc w:val="left"/>
              <w:rPr>
                <w:rFonts w:ascii="仿宋" w:hAnsi="仿宋" w:eastAsia="仿宋" w:cs="仿宋"/>
                <w:kern w:val="0"/>
                <w:sz w:val="24"/>
                <w:lang w:val="zh-CN" w:bidi="zh-CN"/>
              </w:rPr>
            </w:pPr>
            <w:r>
              <w:rPr>
                <w:rFonts w:ascii="仿宋" w:hAnsi="仿宋" w:eastAsia="仿宋" w:cs="仿宋"/>
                <w:kern w:val="0"/>
                <w:sz w:val="24"/>
                <w:lang w:val="zh-CN" w:bidi="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6" w:type="pct"/>
            <w:vMerge w:val="restart"/>
            <w:vAlign w:val="center"/>
          </w:tcPr>
          <w:p>
            <w:pPr>
              <w:widowControl/>
              <w:jc w:val="center"/>
              <w:rPr>
                <w:rFonts w:ascii="仿宋" w:hAnsi="仿宋" w:eastAsia="仿宋" w:cs="仿宋"/>
                <w:kern w:val="0"/>
                <w:sz w:val="24"/>
                <w:lang w:val="zh-CN" w:bidi="zh-CN"/>
              </w:rPr>
            </w:pPr>
            <w:r>
              <w:rPr>
                <w:rFonts w:ascii="仿宋" w:hAnsi="仿宋" w:eastAsia="仿宋" w:cs="仿宋"/>
                <w:kern w:val="0"/>
                <w:sz w:val="24"/>
                <w:lang w:val="zh-CN" w:bidi="zh-CN"/>
              </w:rPr>
              <w:t>污染物</w:t>
            </w:r>
          </w:p>
          <w:p>
            <w:pPr>
              <w:widowControl/>
              <w:jc w:val="center"/>
              <w:rPr>
                <w:rFonts w:ascii="仿宋" w:hAnsi="仿宋" w:eastAsia="仿宋" w:cs="仿宋"/>
                <w:kern w:val="0"/>
                <w:sz w:val="24"/>
                <w:lang w:val="zh-CN" w:bidi="zh-CN"/>
              </w:rPr>
            </w:pPr>
            <w:r>
              <w:rPr>
                <w:rFonts w:ascii="仿宋" w:hAnsi="仿宋" w:eastAsia="仿宋" w:cs="仿宋"/>
                <w:kern w:val="0"/>
                <w:sz w:val="24"/>
                <w:lang w:val="zh-CN" w:bidi="zh-CN"/>
              </w:rPr>
              <w:t>排放总量</w:t>
            </w:r>
          </w:p>
        </w:tc>
        <w:tc>
          <w:tcPr>
            <w:tcW w:w="385" w:type="pct"/>
            <w:vAlign w:val="center"/>
          </w:tcPr>
          <w:p>
            <w:pPr>
              <w:widowControl/>
              <w:jc w:val="center"/>
              <w:rPr>
                <w:rFonts w:ascii="仿宋" w:hAnsi="仿宋" w:eastAsia="仿宋" w:cs="仿宋"/>
                <w:kern w:val="0"/>
                <w:sz w:val="24"/>
                <w:lang w:val="zh-CN" w:bidi="zh-CN"/>
              </w:rPr>
            </w:pPr>
            <w:r>
              <w:rPr>
                <w:rFonts w:ascii="仿宋" w:hAnsi="仿宋" w:eastAsia="仿宋" w:cs="仿宋"/>
                <w:kern w:val="0"/>
                <w:sz w:val="24"/>
                <w:lang w:val="zh-CN" w:bidi="zh-CN"/>
              </w:rPr>
              <w:t>4</w:t>
            </w:r>
          </w:p>
        </w:tc>
        <w:tc>
          <w:tcPr>
            <w:tcW w:w="1424" w:type="pct"/>
            <w:vAlign w:val="center"/>
          </w:tcPr>
          <w:p>
            <w:pPr>
              <w:widowControl/>
              <w:jc w:val="left"/>
              <w:rPr>
                <w:rFonts w:ascii="仿宋" w:hAnsi="仿宋" w:eastAsia="仿宋" w:cs="仿宋"/>
                <w:kern w:val="0"/>
                <w:sz w:val="24"/>
                <w:lang w:val="zh-CN" w:bidi="zh-CN"/>
              </w:rPr>
            </w:pPr>
            <w:r>
              <w:rPr>
                <w:rFonts w:ascii="仿宋" w:hAnsi="仿宋" w:eastAsia="仿宋" w:cs="仿宋"/>
                <w:kern w:val="0"/>
                <w:sz w:val="24"/>
                <w:lang w:val="zh-CN" w:bidi="zh-CN"/>
              </w:rPr>
              <w:t>NOx排放量削减比例（%）</w:t>
            </w:r>
          </w:p>
        </w:tc>
        <w:tc>
          <w:tcPr>
            <w:tcW w:w="962" w:type="pct"/>
            <w:vAlign w:val="center"/>
          </w:tcPr>
          <w:p>
            <w:pPr>
              <w:widowControl/>
              <w:jc w:val="left"/>
              <w:rPr>
                <w:rFonts w:ascii="仿宋" w:hAnsi="仿宋" w:eastAsia="仿宋" w:cs="仿宋"/>
                <w:kern w:val="0"/>
                <w:sz w:val="24"/>
                <w:lang w:val="zh-CN" w:bidi="zh-CN"/>
              </w:rPr>
            </w:pPr>
            <w:r>
              <w:rPr>
                <w:rFonts w:hint="eastAsia" w:ascii="仿宋" w:hAnsi="仿宋" w:eastAsia="仿宋" w:cs="仿宋"/>
                <w:kern w:val="0"/>
                <w:sz w:val="24"/>
                <w:lang w:val="zh-CN" w:bidi="zh-CN"/>
              </w:rPr>
              <w:t>≥15%（五年累计数）</w:t>
            </w:r>
          </w:p>
        </w:tc>
        <w:tc>
          <w:tcPr>
            <w:tcW w:w="770" w:type="pct"/>
            <w:vAlign w:val="center"/>
          </w:tcPr>
          <w:p>
            <w:pPr>
              <w:widowControl/>
              <w:jc w:val="left"/>
              <w:rPr>
                <w:rFonts w:ascii="仿宋" w:hAnsi="仿宋" w:eastAsia="仿宋" w:cs="仿宋"/>
                <w:kern w:val="0"/>
                <w:sz w:val="24"/>
                <w:lang w:val="zh-CN" w:bidi="zh-CN"/>
              </w:rPr>
            </w:pPr>
            <w:r>
              <w:rPr>
                <w:rFonts w:hint="eastAsia" w:ascii="仿宋" w:hAnsi="仿宋" w:eastAsia="仿宋" w:cs="仿宋"/>
                <w:kern w:val="0"/>
                <w:sz w:val="24"/>
                <w:lang w:val="zh-CN" w:bidi="zh-CN"/>
              </w:rPr>
              <w:t>达到市里要求</w:t>
            </w:r>
          </w:p>
        </w:tc>
        <w:tc>
          <w:tcPr>
            <w:tcW w:w="693" w:type="pct"/>
            <w:vAlign w:val="center"/>
          </w:tcPr>
          <w:p>
            <w:pPr>
              <w:widowControl/>
              <w:jc w:val="left"/>
              <w:rPr>
                <w:rFonts w:ascii="仿宋" w:hAnsi="仿宋" w:eastAsia="仿宋" w:cs="仿宋"/>
                <w:kern w:val="0"/>
                <w:sz w:val="24"/>
                <w:lang w:val="zh-CN" w:bidi="zh-CN"/>
              </w:rPr>
            </w:pPr>
            <w:r>
              <w:rPr>
                <w:rFonts w:ascii="仿宋" w:hAnsi="仿宋" w:eastAsia="仿宋" w:cs="仿宋"/>
                <w:kern w:val="0"/>
                <w:sz w:val="24"/>
                <w:lang w:val="zh-CN" w:bidi="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6" w:type="pct"/>
            <w:vMerge w:val="continue"/>
            <w:vAlign w:val="center"/>
          </w:tcPr>
          <w:p>
            <w:pPr>
              <w:widowControl/>
              <w:jc w:val="center"/>
              <w:rPr>
                <w:rFonts w:ascii="仿宋" w:hAnsi="仿宋" w:eastAsia="仿宋" w:cs="仿宋"/>
                <w:kern w:val="0"/>
                <w:sz w:val="24"/>
                <w:lang w:val="zh-CN" w:bidi="zh-CN"/>
              </w:rPr>
            </w:pPr>
          </w:p>
        </w:tc>
        <w:tc>
          <w:tcPr>
            <w:tcW w:w="385" w:type="pct"/>
            <w:vAlign w:val="center"/>
          </w:tcPr>
          <w:p>
            <w:pPr>
              <w:widowControl/>
              <w:jc w:val="center"/>
              <w:rPr>
                <w:rFonts w:ascii="仿宋" w:hAnsi="仿宋" w:eastAsia="仿宋" w:cs="仿宋"/>
                <w:kern w:val="0"/>
                <w:sz w:val="24"/>
                <w:lang w:val="zh-CN" w:bidi="zh-CN"/>
              </w:rPr>
            </w:pPr>
            <w:r>
              <w:rPr>
                <w:rFonts w:ascii="仿宋" w:hAnsi="仿宋" w:eastAsia="仿宋" w:cs="仿宋"/>
                <w:kern w:val="0"/>
                <w:sz w:val="24"/>
                <w:lang w:val="zh-CN" w:bidi="zh-CN"/>
              </w:rPr>
              <w:t>5</w:t>
            </w:r>
          </w:p>
        </w:tc>
        <w:tc>
          <w:tcPr>
            <w:tcW w:w="1424" w:type="pct"/>
            <w:vAlign w:val="center"/>
          </w:tcPr>
          <w:p>
            <w:pPr>
              <w:widowControl/>
              <w:jc w:val="left"/>
              <w:rPr>
                <w:rFonts w:ascii="仿宋" w:hAnsi="仿宋" w:eastAsia="仿宋" w:cs="仿宋"/>
                <w:kern w:val="0"/>
                <w:sz w:val="24"/>
                <w:lang w:val="zh-CN" w:bidi="zh-CN"/>
              </w:rPr>
            </w:pPr>
            <w:r>
              <w:rPr>
                <w:rFonts w:ascii="仿宋" w:hAnsi="仿宋" w:eastAsia="仿宋" w:cs="仿宋"/>
                <w:kern w:val="0"/>
                <w:sz w:val="24"/>
                <w:lang w:val="zh-CN" w:bidi="zh-CN"/>
              </w:rPr>
              <w:t>VOCs排放量削减比例（%）</w:t>
            </w:r>
          </w:p>
        </w:tc>
        <w:tc>
          <w:tcPr>
            <w:tcW w:w="962" w:type="pct"/>
            <w:vAlign w:val="center"/>
          </w:tcPr>
          <w:p>
            <w:pPr>
              <w:widowControl/>
              <w:jc w:val="left"/>
              <w:rPr>
                <w:rFonts w:ascii="仿宋" w:hAnsi="仿宋" w:eastAsia="仿宋" w:cs="仿宋"/>
                <w:kern w:val="0"/>
                <w:sz w:val="24"/>
                <w:lang w:val="zh-CN" w:bidi="zh-CN"/>
              </w:rPr>
            </w:pPr>
            <w:r>
              <w:rPr>
                <w:rFonts w:hint="eastAsia" w:ascii="仿宋" w:hAnsi="仿宋" w:eastAsia="仿宋" w:cs="仿宋"/>
                <w:kern w:val="0"/>
                <w:sz w:val="24"/>
                <w:lang w:val="zh-CN" w:bidi="zh-CN"/>
              </w:rPr>
              <w:t>—</w:t>
            </w:r>
          </w:p>
        </w:tc>
        <w:tc>
          <w:tcPr>
            <w:tcW w:w="770" w:type="pct"/>
            <w:vAlign w:val="center"/>
          </w:tcPr>
          <w:p>
            <w:pPr>
              <w:widowControl/>
              <w:jc w:val="left"/>
              <w:rPr>
                <w:rFonts w:ascii="仿宋" w:hAnsi="仿宋" w:eastAsia="仿宋" w:cs="仿宋"/>
                <w:kern w:val="0"/>
                <w:sz w:val="24"/>
                <w:lang w:val="zh-CN" w:bidi="zh-CN"/>
              </w:rPr>
            </w:pPr>
            <w:r>
              <w:rPr>
                <w:rFonts w:hint="eastAsia" w:ascii="仿宋" w:hAnsi="仿宋" w:eastAsia="仿宋" w:cs="仿宋"/>
                <w:kern w:val="0"/>
                <w:sz w:val="24"/>
                <w:lang w:val="zh-CN" w:bidi="zh-CN"/>
              </w:rPr>
              <w:t>达到市里要求</w:t>
            </w:r>
          </w:p>
        </w:tc>
        <w:tc>
          <w:tcPr>
            <w:tcW w:w="693" w:type="pct"/>
            <w:vAlign w:val="center"/>
          </w:tcPr>
          <w:p>
            <w:pPr>
              <w:widowControl/>
              <w:jc w:val="left"/>
              <w:rPr>
                <w:rFonts w:ascii="仿宋" w:hAnsi="仿宋" w:eastAsia="仿宋" w:cs="仿宋"/>
                <w:kern w:val="0"/>
                <w:sz w:val="24"/>
                <w:lang w:val="zh-CN" w:bidi="zh-CN"/>
              </w:rPr>
            </w:pPr>
            <w:r>
              <w:rPr>
                <w:rFonts w:ascii="仿宋" w:hAnsi="仿宋" w:eastAsia="仿宋" w:cs="仿宋"/>
                <w:kern w:val="0"/>
                <w:sz w:val="24"/>
                <w:lang w:val="zh-CN" w:bidi="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6" w:type="pct"/>
            <w:vMerge w:val="continue"/>
            <w:vAlign w:val="center"/>
          </w:tcPr>
          <w:p>
            <w:pPr>
              <w:widowControl/>
              <w:jc w:val="center"/>
              <w:rPr>
                <w:rFonts w:ascii="仿宋" w:hAnsi="仿宋" w:eastAsia="仿宋" w:cs="仿宋"/>
                <w:kern w:val="0"/>
                <w:sz w:val="24"/>
                <w:lang w:val="zh-CN" w:bidi="zh-CN"/>
              </w:rPr>
            </w:pPr>
          </w:p>
        </w:tc>
        <w:tc>
          <w:tcPr>
            <w:tcW w:w="385" w:type="pct"/>
            <w:vAlign w:val="center"/>
          </w:tcPr>
          <w:p>
            <w:pPr>
              <w:widowControl/>
              <w:jc w:val="center"/>
              <w:rPr>
                <w:rFonts w:ascii="仿宋" w:hAnsi="仿宋" w:eastAsia="仿宋" w:cs="仿宋"/>
                <w:kern w:val="0"/>
                <w:sz w:val="24"/>
                <w:lang w:val="zh-CN" w:bidi="zh-CN"/>
              </w:rPr>
            </w:pPr>
            <w:r>
              <w:rPr>
                <w:rFonts w:ascii="仿宋" w:hAnsi="仿宋" w:eastAsia="仿宋" w:cs="仿宋"/>
                <w:kern w:val="0"/>
                <w:sz w:val="24"/>
                <w:lang w:val="zh-CN" w:bidi="zh-CN"/>
              </w:rPr>
              <w:t>6</w:t>
            </w:r>
          </w:p>
        </w:tc>
        <w:tc>
          <w:tcPr>
            <w:tcW w:w="1424" w:type="pct"/>
            <w:vAlign w:val="center"/>
          </w:tcPr>
          <w:p>
            <w:pPr>
              <w:widowControl/>
              <w:jc w:val="left"/>
              <w:rPr>
                <w:rFonts w:ascii="仿宋" w:hAnsi="仿宋" w:eastAsia="仿宋" w:cs="仿宋"/>
                <w:kern w:val="0"/>
                <w:sz w:val="24"/>
                <w:lang w:val="zh-CN" w:bidi="zh-CN"/>
              </w:rPr>
            </w:pPr>
            <w:r>
              <w:rPr>
                <w:rFonts w:ascii="仿宋" w:hAnsi="仿宋" w:eastAsia="仿宋" w:cs="仿宋"/>
                <w:kern w:val="0"/>
                <w:sz w:val="24"/>
                <w:lang w:val="zh-CN" w:bidi="zh-CN"/>
              </w:rPr>
              <w:t>SO2排放量削减比例（%）</w:t>
            </w:r>
          </w:p>
        </w:tc>
        <w:tc>
          <w:tcPr>
            <w:tcW w:w="962" w:type="pct"/>
            <w:vAlign w:val="center"/>
          </w:tcPr>
          <w:p>
            <w:pPr>
              <w:widowControl/>
              <w:jc w:val="left"/>
              <w:rPr>
                <w:rFonts w:ascii="仿宋" w:hAnsi="仿宋" w:eastAsia="仿宋" w:cs="仿宋"/>
                <w:kern w:val="0"/>
                <w:sz w:val="24"/>
                <w:lang w:val="zh-CN" w:bidi="zh-CN"/>
              </w:rPr>
            </w:pPr>
            <w:r>
              <w:rPr>
                <w:rFonts w:hint="eastAsia" w:ascii="仿宋" w:hAnsi="仿宋" w:eastAsia="仿宋" w:cs="仿宋"/>
                <w:kern w:val="0"/>
                <w:sz w:val="24"/>
                <w:lang w:val="zh-CN" w:bidi="zh-CN"/>
              </w:rPr>
              <w:t>≥15%（五年累计数）</w:t>
            </w:r>
          </w:p>
        </w:tc>
        <w:tc>
          <w:tcPr>
            <w:tcW w:w="770" w:type="pct"/>
            <w:vAlign w:val="center"/>
          </w:tcPr>
          <w:p>
            <w:pPr>
              <w:widowControl/>
              <w:jc w:val="left"/>
              <w:rPr>
                <w:rFonts w:ascii="仿宋" w:hAnsi="仿宋" w:eastAsia="仿宋" w:cs="仿宋"/>
                <w:kern w:val="0"/>
                <w:sz w:val="24"/>
                <w:lang w:val="zh-CN" w:bidi="zh-CN"/>
              </w:rPr>
            </w:pPr>
            <w:r>
              <w:rPr>
                <w:rFonts w:hint="eastAsia" w:ascii="仿宋" w:hAnsi="仿宋" w:eastAsia="仿宋" w:cs="仿宋"/>
                <w:kern w:val="0"/>
                <w:sz w:val="24"/>
                <w:lang w:val="zh-CN" w:bidi="zh-CN"/>
              </w:rPr>
              <w:t>达到市里要求</w:t>
            </w:r>
          </w:p>
        </w:tc>
        <w:tc>
          <w:tcPr>
            <w:tcW w:w="693" w:type="pct"/>
            <w:vAlign w:val="center"/>
          </w:tcPr>
          <w:p>
            <w:pPr>
              <w:widowControl/>
              <w:jc w:val="left"/>
              <w:rPr>
                <w:rFonts w:ascii="仿宋" w:hAnsi="仿宋" w:eastAsia="仿宋" w:cs="仿宋"/>
                <w:kern w:val="0"/>
                <w:sz w:val="24"/>
                <w:lang w:val="zh-CN" w:bidi="zh-CN"/>
              </w:rPr>
            </w:pPr>
            <w:r>
              <w:rPr>
                <w:rFonts w:ascii="仿宋" w:hAnsi="仿宋" w:eastAsia="仿宋" w:cs="仿宋"/>
                <w:kern w:val="0"/>
                <w:sz w:val="24"/>
                <w:lang w:val="zh-CN" w:bidi="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6" w:type="pct"/>
            <w:vMerge w:val="restart"/>
            <w:vAlign w:val="center"/>
          </w:tcPr>
          <w:p>
            <w:pPr>
              <w:widowControl/>
              <w:jc w:val="center"/>
              <w:rPr>
                <w:rFonts w:ascii="仿宋" w:hAnsi="仿宋" w:eastAsia="仿宋" w:cs="仿宋"/>
                <w:kern w:val="0"/>
                <w:sz w:val="24"/>
                <w:lang w:val="zh-CN" w:bidi="zh-CN"/>
              </w:rPr>
            </w:pPr>
            <w:r>
              <w:rPr>
                <w:rFonts w:hint="eastAsia" w:ascii="仿宋" w:hAnsi="仿宋" w:eastAsia="仿宋" w:cs="仿宋"/>
                <w:kern w:val="0"/>
                <w:sz w:val="24"/>
                <w:lang w:val="zh-CN" w:bidi="zh-CN"/>
              </w:rPr>
              <w:t>应对气候变化</w:t>
            </w:r>
          </w:p>
        </w:tc>
        <w:tc>
          <w:tcPr>
            <w:tcW w:w="385" w:type="pct"/>
            <w:vAlign w:val="center"/>
          </w:tcPr>
          <w:p>
            <w:pPr>
              <w:widowControl/>
              <w:jc w:val="center"/>
              <w:rPr>
                <w:rFonts w:ascii="仿宋" w:hAnsi="仿宋" w:eastAsia="仿宋" w:cs="仿宋"/>
                <w:kern w:val="0"/>
                <w:sz w:val="24"/>
                <w:lang w:val="zh-CN" w:bidi="zh-CN"/>
              </w:rPr>
            </w:pPr>
            <w:r>
              <w:rPr>
                <w:rFonts w:hint="eastAsia" w:ascii="仿宋" w:hAnsi="仿宋" w:eastAsia="仿宋" w:cs="仿宋"/>
                <w:kern w:val="0"/>
                <w:sz w:val="24"/>
                <w:lang w:val="zh-CN" w:bidi="zh-CN"/>
              </w:rPr>
              <w:t>7</w:t>
            </w:r>
          </w:p>
        </w:tc>
        <w:tc>
          <w:tcPr>
            <w:tcW w:w="1424" w:type="pct"/>
            <w:vAlign w:val="center"/>
          </w:tcPr>
          <w:p>
            <w:pPr>
              <w:widowControl/>
              <w:jc w:val="left"/>
              <w:rPr>
                <w:rFonts w:ascii="仿宋" w:hAnsi="仿宋" w:eastAsia="仿宋" w:cs="仿宋"/>
                <w:kern w:val="0"/>
                <w:sz w:val="24"/>
                <w:lang w:val="zh-CN" w:bidi="zh-CN"/>
              </w:rPr>
            </w:pPr>
            <w:r>
              <w:rPr>
                <w:rFonts w:hint="eastAsia" w:ascii="仿宋" w:hAnsi="仿宋" w:eastAsia="仿宋" w:cs="仿宋"/>
                <w:kern w:val="0"/>
                <w:sz w:val="24"/>
                <w:lang w:val="zh-CN" w:bidi="zh-CN"/>
              </w:rPr>
              <w:t>单位地区</w:t>
            </w:r>
            <w:r>
              <w:rPr>
                <w:rFonts w:hint="eastAsia" w:ascii="仿宋" w:hAnsi="仿宋" w:eastAsia="仿宋" w:cs="仿宋"/>
                <w:kern w:val="0"/>
                <w:sz w:val="24"/>
                <w:lang w:bidi="zh-CN"/>
              </w:rPr>
              <w:t>生产总值</w:t>
            </w:r>
            <w:r>
              <w:rPr>
                <w:rFonts w:hint="eastAsia" w:ascii="仿宋" w:hAnsi="仿宋" w:eastAsia="仿宋" w:cs="仿宋"/>
                <w:kern w:val="0"/>
                <w:sz w:val="24"/>
                <w:lang w:val="zh-CN" w:bidi="zh-CN"/>
              </w:rPr>
              <w:t>二氧化碳排放降低比例（%）</w:t>
            </w:r>
          </w:p>
        </w:tc>
        <w:tc>
          <w:tcPr>
            <w:tcW w:w="962" w:type="pct"/>
            <w:vAlign w:val="center"/>
          </w:tcPr>
          <w:p>
            <w:pPr>
              <w:widowControl/>
              <w:jc w:val="left"/>
              <w:rPr>
                <w:rFonts w:ascii="仿宋" w:hAnsi="仿宋" w:eastAsia="仿宋" w:cs="仿宋"/>
                <w:kern w:val="0"/>
                <w:sz w:val="24"/>
                <w:lang w:val="zh-CN" w:bidi="zh-CN"/>
              </w:rPr>
            </w:pPr>
            <w:r>
              <w:rPr>
                <w:rFonts w:hint="eastAsia" w:ascii="仿宋" w:hAnsi="仿宋" w:eastAsia="仿宋" w:cs="仿宋"/>
                <w:kern w:val="0"/>
                <w:sz w:val="24"/>
                <w:lang w:val="zh-CN" w:bidi="zh-CN"/>
              </w:rPr>
              <w:t>—</w:t>
            </w:r>
          </w:p>
        </w:tc>
        <w:tc>
          <w:tcPr>
            <w:tcW w:w="770" w:type="pct"/>
            <w:vAlign w:val="center"/>
          </w:tcPr>
          <w:p>
            <w:pPr>
              <w:widowControl/>
              <w:jc w:val="left"/>
              <w:rPr>
                <w:rFonts w:ascii="仿宋" w:hAnsi="仿宋" w:eastAsia="仿宋" w:cs="仿宋"/>
                <w:kern w:val="0"/>
                <w:sz w:val="24"/>
                <w:lang w:val="zh-CN" w:bidi="zh-CN"/>
              </w:rPr>
            </w:pPr>
            <w:r>
              <w:rPr>
                <w:rFonts w:hint="eastAsia" w:ascii="仿宋" w:hAnsi="仿宋" w:eastAsia="仿宋" w:cs="仿宋"/>
                <w:kern w:val="0"/>
                <w:sz w:val="24"/>
                <w:lang w:val="zh-CN" w:bidi="zh-CN"/>
              </w:rPr>
              <w:t>达到市里要求</w:t>
            </w:r>
          </w:p>
        </w:tc>
        <w:tc>
          <w:tcPr>
            <w:tcW w:w="693" w:type="pct"/>
            <w:vAlign w:val="center"/>
          </w:tcPr>
          <w:p>
            <w:pPr>
              <w:widowControl/>
              <w:jc w:val="left"/>
              <w:rPr>
                <w:rFonts w:ascii="仿宋" w:hAnsi="仿宋" w:eastAsia="仿宋" w:cs="仿宋"/>
                <w:kern w:val="0"/>
                <w:sz w:val="24"/>
                <w:lang w:val="zh-CN" w:bidi="zh-CN"/>
              </w:rPr>
            </w:pPr>
            <w:r>
              <w:rPr>
                <w:rFonts w:ascii="仿宋" w:hAnsi="仿宋" w:eastAsia="仿宋" w:cs="仿宋"/>
                <w:kern w:val="0"/>
                <w:sz w:val="24"/>
                <w:lang w:val="zh-CN" w:bidi="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6" w:type="pct"/>
            <w:vMerge w:val="continue"/>
            <w:vAlign w:val="center"/>
          </w:tcPr>
          <w:p>
            <w:pPr>
              <w:widowControl/>
              <w:jc w:val="center"/>
              <w:rPr>
                <w:rFonts w:ascii="仿宋" w:hAnsi="仿宋" w:eastAsia="仿宋" w:cs="仿宋"/>
                <w:kern w:val="0"/>
                <w:sz w:val="24"/>
                <w:lang w:val="zh-CN" w:bidi="zh-CN"/>
              </w:rPr>
            </w:pPr>
          </w:p>
        </w:tc>
        <w:tc>
          <w:tcPr>
            <w:tcW w:w="385" w:type="pct"/>
            <w:vAlign w:val="center"/>
          </w:tcPr>
          <w:p>
            <w:pPr>
              <w:widowControl/>
              <w:jc w:val="center"/>
              <w:rPr>
                <w:rFonts w:ascii="仿宋" w:hAnsi="仿宋" w:eastAsia="仿宋" w:cs="仿宋"/>
                <w:kern w:val="0"/>
                <w:sz w:val="24"/>
                <w:lang w:val="zh-CN" w:bidi="zh-CN"/>
              </w:rPr>
            </w:pPr>
            <w:r>
              <w:rPr>
                <w:rFonts w:hint="eastAsia" w:ascii="仿宋" w:hAnsi="仿宋" w:eastAsia="仿宋" w:cs="仿宋"/>
                <w:kern w:val="0"/>
                <w:sz w:val="24"/>
                <w:lang w:val="zh-CN" w:bidi="zh-CN"/>
              </w:rPr>
              <w:t>8</w:t>
            </w:r>
          </w:p>
        </w:tc>
        <w:tc>
          <w:tcPr>
            <w:tcW w:w="1424" w:type="pct"/>
            <w:vAlign w:val="center"/>
          </w:tcPr>
          <w:p>
            <w:pPr>
              <w:widowControl/>
              <w:jc w:val="left"/>
              <w:rPr>
                <w:rFonts w:ascii="仿宋" w:hAnsi="仿宋" w:eastAsia="仿宋" w:cs="仿宋"/>
                <w:kern w:val="0"/>
                <w:sz w:val="24"/>
                <w:lang w:val="zh-CN" w:bidi="zh-CN"/>
              </w:rPr>
            </w:pPr>
            <w:r>
              <w:rPr>
                <w:rFonts w:hint="eastAsia" w:ascii="仿宋" w:hAnsi="仿宋" w:eastAsia="仿宋" w:cs="仿宋"/>
                <w:kern w:val="0"/>
                <w:sz w:val="24"/>
                <w:lang w:val="zh-CN" w:bidi="zh-CN"/>
              </w:rPr>
              <w:t>单位地区生产总值能源消耗降低比例（%）</w:t>
            </w:r>
          </w:p>
        </w:tc>
        <w:tc>
          <w:tcPr>
            <w:tcW w:w="962" w:type="pct"/>
            <w:vAlign w:val="center"/>
          </w:tcPr>
          <w:p>
            <w:pPr>
              <w:widowControl/>
              <w:jc w:val="left"/>
              <w:rPr>
                <w:rFonts w:ascii="仿宋" w:hAnsi="仿宋" w:eastAsia="仿宋" w:cs="仿宋"/>
                <w:kern w:val="0"/>
                <w:sz w:val="24"/>
                <w:lang w:val="zh-CN" w:bidi="zh-CN"/>
              </w:rPr>
            </w:pPr>
            <w:r>
              <w:rPr>
                <w:rFonts w:hint="eastAsia" w:ascii="仿宋" w:hAnsi="仿宋" w:eastAsia="仿宋" w:cs="仿宋"/>
                <w:kern w:val="0"/>
                <w:sz w:val="24"/>
                <w:lang w:val="zh-CN" w:bidi="zh-CN"/>
              </w:rPr>
              <w:t>—</w:t>
            </w:r>
          </w:p>
        </w:tc>
        <w:tc>
          <w:tcPr>
            <w:tcW w:w="770" w:type="pct"/>
            <w:vAlign w:val="center"/>
          </w:tcPr>
          <w:p>
            <w:pPr>
              <w:widowControl/>
              <w:jc w:val="left"/>
              <w:rPr>
                <w:rFonts w:ascii="仿宋" w:hAnsi="仿宋" w:eastAsia="仿宋" w:cs="仿宋"/>
                <w:kern w:val="0"/>
                <w:sz w:val="24"/>
                <w:lang w:val="zh-CN" w:bidi="zh-CN"/>
              </w:rPr>
            </w:pPr>
            <w:r>
              <w:rPr>
                <w:rFonts w:hint="eastAsia" w:ascii="仿宋" w:hAnsi="仿宋" w:eastAsia="仿宋" w:cs="仿宋"/>
                <w:kern w:val="0"/>
                <w:sz w:val="24"/>
                <w:lang w:val="zh-CN" w:bidi="zh-CN"/>
              </w:rPr>
              <w:t>达到市里要求</w:t>
            </w:r>
          </w:p>
        </w:tc>
        <w:tc>
          <w:tcPr>
            <w:tcW w:w="693" w:type="pct"/>
            <w:vAlign w:val="center"/>
          </w:tcPr>
          <w:p>
            <w:pPr>
              <w:widowControl/>
              <w:jc w:val="left"/>
              <w:rPr>
                <w:rFonts w:ascii="仿宋" w:hAnsi="仿宋" w:eastAsia="仿宋" w:cs="仿宋"/>
                <w:kern w:val="0"/>
                <w:sz w:val="24"/>
                <w:lang w:val="zh-CN" w:bidi="zh-CN"/>
              </w:rPr>
            </w:pPr>
            <w:r>
              <w:rPr>
                <w:rFonts w:ascii="仿宋" w:hAnsi="仿宋" w:eastAsia="仿宋" w:cs="仿宋"/>
                <w:kern w:val="0"/>
                <w:sz w:val="24"/>
                <w:lang w:val="zh-CN" w:bidi="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6" w:type="pct"/>
            <w:vMerge w:val="continue"/>
            <w:vAlign w:val="center"/>
          </w:tcPr>
          <w:p>
            <w:pPr>
              <w:widowControl/>
              <w:jc w:val="center"/>
              <w:rPr>
                <w:rFonts w:ascii="仿宋" w:hAnsi="仿宋" w:eastAsia="仿宋" w:cs="仿宋"/>
                <w:kern w:val="0"/>
                <w:sz w:val="24"/>
                <w:lang w:val="zh-CN" w:bidi="zh-CN"/>
              </w:rPr>
            </w:pPr>
          </w:p>
        </w:tc>
        <w:tc>
          <w:tcPr>
            <w:tcW w:w="385" w:type="pct"/>
            <w:vAlign w:val="center"/>
          </w:tcPr>
          <w:p>
            <w:pPr>
              <w:widowControl/>
              <w:jc w:val="center"/>
              <w:rPr>
                <w:rFonts w:ascii="仿宋" w:hAnsi="仿宋" w:eastAsia="仿宋" w:cs="仿宋"/>
                <w:kern w:val="0"/>
                <w:sz w:val="24"/>
                <w:lang w:val="zh-CN" w:bidi="zh-CN"/>
              </w:rPr>
            </w:pPr>
            <w:r>
              <w:rPr>
                <w:rFonts w:hint="eastAsia" w:ascii="仿宋" w:hAnsi="仿宋" w:eastAsia="仿宋" w:cs="仿宋"/>
                <w:kern w:val="0"/>
                <w:sz w:val="24"/>
                <w:lang w:val="zh-CN" w:bidi="zh-CN"/>
              </w:rPr>
              <w:t>9</w:t>
            </w:r>
          </w:p>
        </w:tc>
        <w:tc>
          <w:tcPr>
            <w:tcW w:w="1424" w:type="pct"/>
            <w:vAlign w:val="center"/>
          </w:tcPr>
          <w:p>
            <w:pPr>
              <w:widowControl/>
              <w:jc w:val="left"/>
              <w:rPr>
                <w:rFonts w:ascii="仿宋" w:hAnsi="仿宋" w:eastAsia="仿宋" w:cs="仿宋"/>
                <w:kern w:val="0"/>
                <w:sz w:val="24"/>
                <w:lang w:val="zh-CN" w:bidi="zh-CN"/>
              </w:rPr>
            </w:pPr>
            <w:r>
              <w:rPr>
                <w:rFonts w:hint="eastAsia" w:ascii="仿宋" w:hAnsi="仿宋" w:eastAsia="仿宋" w:cs="仿宋"/>
                <w:kern w:val="0"/>
                <w:sz w:val="24"/>
                <w:lang w:val="zh-CN" w:bidi="zh-CN"/>
              </w:rPr>
              <w:t>非化石能源站一次能源消费比例（%）</w:t>
            </w:r>
          </w:p>
        </w:tc>
        <w:tc>
          <w:tcPr>
            <w:tcW w:w="962" w:type="pct"/>
            <w:vAlign w:val="center"/>
          </w:tcPr>
          <w:p>
            <w:pPr>
              <w:widowControl/>
              <w:jc w:val="left"/>
              <w:rPr>
                <w:rFonts w:ascii="仿宋" w:hAnsi="仿宋" w:eastAsia="仿宋" w:cs="仿宋"/>
                <w:kern w:val="0"/>
                <w:sz w:val="24"/>
                <w:lang w:val="zh-CN" w:bidi="zh-CN"/>
              </w:rPr>
            </w:pPr>
            <w:r>
              <w:rPr>
                <w:rFonts w:hint="eastAsia" w:ascii="仿宋" w:hAnsi="仿宋" w:eastAsia="仿宋" w:cs="仿宋"/>
                <w:kern w:val="0"/>
                <w:sz w:val="24"/>
                <w:lang w:val="zh-CN" w:bidi="zh-CN"/>
              </w:rPr>
              <w:t>—</w:t>
            </w:r>
          </w:p>
        </w:tc>
        <w:tc>
          <w:tcPr>
            <w:tcW w:w="770" w:type="pct"/>
            <w:vAlign w:val="center"/>
          </w:tcPr>
          <w:p>
            <w:pPr>
              <w:widowControl/>
              <w:jc w:val="left"/>
              <w:rPr>
                <w:rFonts w:ascii="仿宋" w:hAnsi="仿宋" w:eastAsia="仿宋" w:cs="仿宋"/>
                <w:kern w:val="0"/>
                <w:sz w:val="24"/>
                <w:lang w:val="zh-CN" w:bidi="zh-CN"/>
              </w:rPr>
            </w:pPr>
            <w:r>
              <w:rPr>
                <w:rFonts w:hint="eastAsia" w:ascii="仿宋" w:hAnsi="仿宋" w:eastAsia="仿宋" w:cs="仿宋"/>
                <w:kern w:val="0"/>
                <w:sz w:val="24"/>
                <w:lang w:val="zh-CN" w:bidi="zh-CN"/>
              </w:rPr>
              <w:t>达到市里要求</w:t>
            </w:r>
          </w:p>
        </w:tc>
        <w:tc>
          <w:tcPr>
            <w:tcW w:w="693" w:type="pct"/>
            <w:vAlign w:val="center"/>
          </w:tcPr>
          <w:p>
            <w:pPr>
              <w:widowControl/>
              <w:jc w:val="left"/>
              <w:rPr>
                <w:rFonts w:ascii="仿宋" w:hAnsi="仿宋" w:eastAsia="仿宋" w:cs="仿宋"/>
                <w:kern w:val="0"/>
                <w:sz w:val="24"/>
                <w:lang w:val="zh-CN" w:bidi="zh-CN"/>
              </w:rPr>
            </w:pPr>
            <w:r>
              <w:rPr>
                <w:rFonts w:hint="eastAsia" w:ascii="仿宋" w:hAnsi="仿宋" w:eastAsia="仿宋" w:cs="仿宋"/>
                <w:kern w:val="0"/>
                <w:sz w:val="24"/>
                <w:lang w:val="zh-CN" w:bidi="zh-CN"/>
              </w:rPr>
              <w:t>预期性</w:t>
            </w:r>
          </w:p>
        </w:tc>
      </w:tr>
    </w:tbl>
    <w:p>
      <w:pPr>
        <w:rPr>
          <w:rFonts w:ascii="仿宋" w:hAnsi="仿宋" w:eastAsia="仿宋"/>
        </w:rPr>
      </w:pPr>
      <w:r>
        <w:rPr>
          <w:rFonts w:ascii="仿宋" w:hAnsi="仿宋" w:eastAsia="仿宋"/>
        </w:rPr>
        <w:br w:type="page"/>
      </w:r>
    </w:p>
    <w:p>
      <w:pPr>
        <w:pStyle w:val="2"/>
        <w:rPr>
          <w:rFonts w:ascii="仿宋" w:hAnsi="仿宋" w:eastAsia="仿宋"/>
        </w:rPr>
      </w:pPr>
      <w:bookmarkStart w:id="22" w:name="_Toc16379"/>
      <w:bookmarkStart w:id="23" w:name="_Toc65597840"/>
      <w:r>
        <w:rPr>
          <w:rFonts w:hint="eastAsia" w:ascii="仿宋" w:hAnsi="仿宋" w:eastAsia="仿宋"/>
        </w:rPr>
        <w:t>三、规划任务要求</w:t>
      </w:r>
      <w:bookmarkEnd w:id="22"/>
      <w:bookmarkEnd w:id="23"/>
    </w:p>
    <w:p>
      <w:pPr>
        <w:numPr>
          <w:ilvl w:val="0"/>
          <w:numId w:val="1"/>
        </w:numPr>
        <w:outlineLvl w:val="1"/>
        <w:rPr>
          <w:rFonts w:ascii="仿宋" w:hAnsi="仿宋" w:eastAsia="仿宋" w:cs="宋体"/>
          <w:b/>
          <w:bCs/>
          <w:sz w:val="28"/>
          <w:szCs w:val="28"/>
        </w:rPr>
      </w:pPr>
      <w:bookmarkStart w:id="24" w:name="_Toc65597841"/>
      <w:bookmarkStart w:id="25" w:name="_Toc10533"/>
      <w:r>
        <w:rPr>
          <w:rFonts w:hint="eastAsia" w:ascii="仿宋" w:hAnsi="仿宋" w:eastAsia="仿宋" w:cs="宋体"/>
          <w:b/>
          <w:bCs/>
          <w:sz w:val="28"/>
          <w:szCs w:val="28"/>
        </w:rPr>
        <w:t>大力推动结构调整，促进高质量发展</w:t>
      </w:r>
      <w:bookmarkEnd w:id="24"/>
      <w:bookmarkEnd w:id="25"/>
    </w:p>
    <w:p>
      <w:pPr>
        <w:pStyle w:val="37"/>
        <w:numPr>
          <w:ilvl w:val="0"/>
          <w:numId w:val="2"/>
        </w:numPr>
        <w:outlineLvl w:val="2"/>
        <w:rPr>
          <w:rFonts w:ascii="仿宋" w:hAnsi="仿宋" w:eastAsia="仿宋" w:cs="宋体"/>
          <w:b/>
          <w:bCs/>
          <w:color w:val="auto"/>
          <w:sz w:val="28"/>
          <w:szCs w:val="28"/>
        </w:rPr>
      </w:pPr>
      <w:bookmarkStart w:id="26" w:name="_Toc25761"/>
      <w:bookmarkStart w:id="27" w:name="_Toc65597842"/>
      <w:r>
        <w:rPr>
          <w:rFonts w:hint="eastAsia" w:ascii="仿宋" w:hAnsi="仿宋" w:eastAsia="仿宋" w:cs="宋体"/>
          <w:b/>
          <w:bCs/>
          <w:color w:val="auto"/>
          <w:sz w:val="28"/>
          <w:szCs w:val="28"/>
        </w:rPr>
        <w:t>优化能源结构，打造低碳生活</w:t>
      </w:r>
      <w:bookmarkEnd w:id="26"/>
      <w:bookmarkEnd w:id="27"/>
    </w:p>
    <w:p>
      <w:pPr>
        <w:spacing w:line="360" w:lineRule="auto"/>
        <w:outlineLvl w:val="3"/>
        <w:rPr>
          <w:rFonts w:ascii="仿宋" w:hAnsi="仿宋" w:eastAsia="仿宋" w:cs="宋体"/>
          <w:sz w:val="28"/>
          <w:szCs w:val="32"/>
        </w:rPr>
      </w:pPr>
      <w:r>
        <w:rPr>
          <w:rFonts w:hint="eastAsia" w:ascii="仿宋" w:hAnsi="仿宋" w:eastAsia="仿宋" w:cs="宋体"/>
          <w:sz w:val="28"/>
          <w:szCs w:val="32"/>
        </w:rPr>
        <w:t>（1）严控煤炭消费总量，深化燃煤锅炉整治。</w:t>
      </w:r>
    </w:p>
    <w:p>
      <w:pPr>
        <w:spacing w:line="360" w:lineRule="auto"/>
        <w:ind w:firstLine="560" w:firstLineChars="200"/>
        <w:rPr>
          <w:rFonts w:ascii="仿宋" w:hAnsi="仿宋" w:eastAsia="仿宋" w:cs="宋体"/>
          <w:sz w:val="28"/>
          <w:szCs w:val="32"/>
        </w:rPr>
      </w:pPr>
      <w:r>
        <w:rPr>
          <w:rFonts w:hint="eastAsia" w:ascii="仿宋" w:hAnsi="仿宋" w:eastAsia="仿宋" w:cs="宋体"/>
          <w:sz w:val="28"/>
          <w:szCs w:val="32"/>
        </w:rPr>
        <w:t>严控煤炭消费总量，开发区和产业园区等重点区域实施煤量替代。提升能效环保标准，积极推进新型建材等高耗煤行业节能减排改造。全面实施散煤综合治理，逐步推行天然气、电力、</w:t>
      </w:r>
      <w:r>
        <w:rPr>
          <w:rFonts w:hint="eastAsia" w:ascii="仿宋" w:hAnsi="仿宋" w:eastAsia="仿宋" w:cs="宋体"/>
          <w:kern w:val="0"/>
          <w:sz w:val="28"/>
          <w:szCs w:val="28"/>
        </w:rPr>
        <w:t>洁净型煤及可再生能源等清洁能源替代民用散煤</w:t>
      </w:r>
      <w:r>
        <w:rPr>
          <w:rFonts w:hint="eastAsia" w:ascii="仿宋" w:hAnsi="仿宋" w:eastAsia="仿宋" w:cs="宋体"/>
          <w:sz w:val="28"/>
          <w:szCs w:val="32"/>
        </w:rPr>
        <w:t>，继续实施工业燃煤锅炉和窑炉改造提升工程，推进散煤治理。严格按照效能、环保准入标准布局新建燃煤发电项目，除热电联项目之外，禁止审批新建燃煤发电项目。结合煤电布局，在中心城区和米沙子镇铁路货场等重要交通枢纽、石化领域大型用煤企业和两区多园等产业园区开展集中配煤物流供应点试点工程。提高政府采购、企业用煤采购标准，加快“煤改气”“煤改电”工程建设，推进煤炭分级分质、阶梯利用，提高煤炭综合利用水平。</w:t>
      </w:r>
    </w:p>
    <w:p>
      <w:pPr>
        <w:spacing w:line="360" w:lineRule="auto"/>
        <w:ind w:firstLine="560" w:firstLineChars="200"/>
        <w:rPr>
          <w:rFonts w:ascii="仿宋" w:hAnsi="仿宋" w:eastAsia="仿宋" w:cs="宋体"/>
          <w:sz w:val="28"/>
          <w:szCs w:val="32"/>
        </w:rPr>
      </w:pPr>
      <w:r>
        <w:rPr>
          <w:rFonts w:hint="eastAsia" w:ascii="仿宋" w:hAnsi="仿宋" w:eastAsia="仿宋" w:cs="宋体"/>
          <w:sz w:val="28"/>
          <w:szCs w:val="32"/>
        </w:rPr>
        <w:t>对新增耗煤项目实施减量替代。到2025年，全市煤炭消费量低于2020年，煤炭占一次能源消耗的比重到达市级要求。实施非电用煤限额，明确划分压煤重点企业，制定农产品加工、建材等重点行业压减煤炭消费行动方案，开展年度达标考核。提高电力用煤比例，完成各级下达的任务。</w:t>
      </w:r>
    </w:p>
    <w:p>
      <w:pPr>
        <w:spacing w:line="360" w:lineRule="auto"/>
        <w:ind w:firstLine="562" w:firstLineChars="200"/>
        <w:rPr>
          <w:rFonts w:ascii="仿宋" w:hAnsi="仿宋" w:eastAsia="仿宋" w:cs="宋体"/>
          <w:sz w:val="28"/>
          <w:szCs w:val="32"/>
        </w:rPr>
      </w:pPr>
      <w:r>
        <w:rPr>
          <w:rFonts w:hint="eastAsia" w:ascii="仿宋" w:hAnsi="仿宋" w:eastAsia="仿宋" w:cs="宋体"/>
          <w:b/>
          <w:bCs/>
          <w:sz w:val="28"/>
          <w:szCs w:val="32"/>
        </w:rPr>
        <w:t>深化燃煤锅炉整治。</w:t>
      </w:r>
      <w:r>
        <w:rPr>
          <w:rFonts w:hint="eastAsia" w:ascii="仿宋" w:hAnsi="仿宋" w:eastAsia="仿宋" w:cs="宋体"/>
          <w:sz w:val="28"/>
          <w:szCs w:val="32"/>
        </w:rPr>
        <w:t>全市范围内禁止新建每小时40蒸吨以下燃煤锅炉，现有燃煤锅炉应优先采取集中供热或天然气替代改造。到2025年，城区范围淘汰35蒸吨以下燃煤锅炉、经营性炉灶、储粮烘干设备等燃煤设施，完成市区范围内40蒸吨/小时以下的燃煤锅炉“清零”工作，开展65蒸吨及以上燃煤锅炉节能和超低排放改造，65蒸吨及以上燃煤锅炉全面执行超低排放限值。</w:t>
      </w:r>
    </w:p>
    <w:p>
      <w:pPr>
        <w:pStyle w:val="5"/>
        <w:ind w:firstLine="562"/>
        <w:rPr>
          <w:rFonts w:ascii="仿宋" w:hAnsi="仿宋" w:cs="宋体"/>
          <w:highlight w:val="yellow"/>
        </w:rPr>
      </w:pPr>
      <w:r>
        <w:rPr>
          <w:rFonts w:hint="eastAsia" w:ascii="仿宋" w:hAnsi="仿宋" w:cs="宋体"/>
          <w:b/>
          <w:bCs/>
        </w:rPr>
        <w:t>扩大非化石能源利用领域。</w:t>
      </w:r>
      <w:r>
        <w:rPr>
          <w:rFonts w:hint="eastAsia" w:ascii="仿宋" w:hAnsi="仿宋" w:cs="宋体"/>
        </w:rPr>
        <w:t>大力促进生物质热电联产等新兴能源项目建设，着力推动绿色电力、绿色热力、绿色燃料生产和利用。提高生物质能、光伏等发电装机规模，扩大生物质能、光伏等可再生能源在公共建筑、工业园区和城市集中供热等领域的应用，重点推进生物质固体燃料生产和应用，部分替代燃煤、燃油等常规能源。</w:t>
      </w:r>
      <w:bookmarkStart w:id="28" w:name="_Hlk59480413"/>
      <w:r>
        <w:rPr>
          <w:rFonts w:hint="eastAsia" w:ascii="仿宋" w:hAnsi="仿宋" w:cs="宋体"/>
        </w:rPr>
        <w:t>到2025年，</w:t>
      </w:r>
      <w:bookmarkEnd w:id="28"/>
      <w:r>
        <w:rPr>
          <w:rFonts w:hint="eastAsia" w:ascii="仿宋" w:hAnsi="仿宋" w:cs="宋体"/>
        </w:rPr>
        <w:t>非化石能源使用比例达到市里要求。</w:t>
      </w:r>
    </w:p>
    <w:p>
      <w:pPr>
        <w:spacing w:line="360" w:lineRule="auto"/>
        <w:outlineLvl w:val="3"/>
        <w:rPr>
          <w:rFonts w:ascii="仿宋" w:hAnsi="仿宋" w:eastAsia="仿宋" w:cs="宋体"/>
          <w:bCs/>
          <w:sz w:val="30"/>
          <w:szCs w:val="32"/>
        </w:rPr>
      </w:pPr>
      <w:bookmarkStart w:id="29" w:name="_Toc59366134"/>
      <w:r>
        <w:rPr>
          <w:rFonts w:hint="eastAsia" w:ascii="仿宋" w:hAnsi="仿宋" w:eastAsia="仿宋" w:cs="宋体"/>
          <w:bCs/>
          <w:sz w:val="30"/>
          <w:szCs w:val="32"/>
        </w:rPr>
        <w:t>（2）推进清洁利用，构建清洁能源利用体系</w:t>
      </w:r>
      <w:bookmarkEnd w:id="29"/>
    </w:p>
    <w:p>
      <w:pPr>
        <w:ind w:firstLine="562" w:firstLineChars="200"/>
        <w:rPr>
          <w:rFonts w:ascii="仿宋" w:hAnsi="仿宋" w:eastAsia="仿宋" w:cs="宋体"/>
          <w:kern w:val="0"/>
          <w:sz w:val="28"/>
          <w:szCs w:val="32"/>
        </w:rPr>
      </w:pPr>
      <w:r>
        <w:rPr>
          <w:rFonts w:hint="eastAsia" w:ascii="仿宋" w:hAnsi="仿宋" w:eastAsia="仿宋" w:cs="宋体"/>
          <w:b/>
          <w:bCs/>
          <w:kern w:val="0"/>
          <w:sz w:val="28"/>
          <w:szCs w:val="32"/>
        </w:rPr>
        <w:t>推进煤炭清洁利用。</w:t>
      </w:r>
      <w:r>
        <w:rPr>
          <w:rFonts w:hint="eastAsia" w:ascii="仿宋" w:hAnsi="仿宋" w:eastAsia="仿宋" w:cs="宋体"/>
          <w:kern w:val="0"/>
          <w:sz w:val="28"/>
          <w:szCs w:val="32"/>
        </w:rPr>
        <w:t>按照《长春市商品煤质量管理实施细则》，进一步加强生产、流通领域煤炭质量管理工作，禁止劣质煤在本市运输、销售和使用。建立完善劣质煤退出机制。以提高煤炭清洁高效利用水平为重点，推进与节能环保锅炉配套的洁净煤制备、配送、储存、使用等环节的设施建设与升级改造。加强用煤企业的污染排放监管，有效降低煤炭利用过程中污染物的排放。提高煤炭利用质量与效率，降低含硫量较高的蒙煤市场占比，提升清洁煤在散煤取暖中的比例。</w:t>
      </w:r>
    </w:p>
    <w:p>
      <w:pPr>
        <w:pStyle w:val="5"/>
        <w:ind w:firstLine="562"/>
        <w:rPr>
          <w:rFonts w:ascii="仿宋" w:hAnsi="仿宋" w:cs="宋体"/>
          <w:b/>
          <w:bCs/>
        </w:rPr>
      </w:pPr>
      <w:r>
        <w:rPr>
          <w:rFonts w:hint="eastAsia" w:ascii="仿宋" w:hAnsi="仿宋" w:cs="宋体"/>
          <w:b/>
          <w:bCs/>
        </w:rPr>
        <w:t>加强清洁燃煤集中供暖推广力度。</w:t>
      </w:r>
      <w:r>
        <w:rPr>
          <w:rFonts w:hint="eastAsia" w:ascii="仿宋" w:hAnsi="仿宋" w:cs="宋体"/>
        </w:rPr>
        <w:t>充分利用存量机组供热能力，加强热电联产供热范围内燃煤小锅炉的关停力度，提高热电联产供热比重；扩大热电机组供热范围，稳步推进中长距离供热；鼓励热电联产机组充分利用乏汽余热、循环冷却水余热，进一步增加对外供暖能力，降低机组发电煤耗；统筹考虑区域用热需求和电力系统运行情况，城区、市城和城乡结合部基本实现清洁取暖，农村地区清洁取暖率达到45%。</w:t>
      </w:r>
    </w:p>
    <w:p>
      <w:pPr>
        <w:spacing w:line="360" w:lineRule="auto"/>
        <w:ind w:firstLine="562" w:firstLineChars="200"/>
        <w:jc w:val="left"/>
        <w:rPr>
          <w:rFonts w:ascii="仿宋" w:hAnsi="仿宋" w:eastAsia="仿宋" w:cs="宋体"/>
          <w:kern w:val="0"/>
          <w:sz w:val="28"/>
          <w:szCs w:val="32"/>
        </w:rPr>
      </w:pPr>
      <w:r>
        <w:rPr>
          <w:rFonts w:hint="eastAsia" w:ascii="仿宋" w:hAnsi="仿宋" w:eastAsia="仿宋" w:cs="宋体"/>
          <w:b/>
          <w:bCs/>
          <w:sz w:val="28"/>
          <w:szCs w:val="32"/>
        </w:rPr>
        <w:t>积极推进使用可再生能源供暖。</w:t>
      </w:r>
      <w:r>
        <w:rPr>
          <w:rFonts w:hint="eastAsia" w:ascii="仿宋" w:hAnsi="仿宋" w:eastAsia="仿宋" w:cs="宋体"/>
          <w:kern w:val="0"/>
          <w:sz w:val="28"/>
          <w:szCs w:val="32"/>
        </w:rPr>
        <w:t>我市可因地制宜将地热能作为集中或分散供暖热源。完善地热能开发利用行业管理。健立健全管理制度和技术标准，维护地热能开发利用市场秩序。制定地热能开发利用管理办法，理顺地热探矿权许可证办理、地热水采矿许可证办理、地热水资源补偿费征收与管理等机制。完善地热行业标准规范，确保地热回灌率100%，依法推行资格认证、规划审查和许可制度。</w:t>
      </w:r>
    </w:p>
    <w:p>
      <w:pPr>
        <w:spacing w:line="360" w:lineRule="auto"/>
        <w:ind w:firstLine="560" w:firstLineChars="200"/>
        <w:jc w:val="left"/>
        <w:rPr>
          <w:rFonts w:ascii="仿宋" w:hAnsi="仿宋" w:eastAsia="仿宋" w:cs="宋体"/>
          <w:kern w:val="0"/>
          <w:sz w:val="28"/>
          <w:szCs w:val="32"/>
        </w:rPr>
      </w:pPr>
      <w:r>
        <w:rPr>
          <w:rFonts w:hint="eastAsia" w:ascii="仿宋" w:hAnsi="仿宋" w:eastAsia="仿宋" w:cs="宋体"/>
          <w:kern w:val="0"/>
          <w:sz w:val="28"/>
          <w:szCs w:val="32"/>
        </w:rPr>
        <w:t>生物质能清洁供暖。生物质能清洁供暖布局灵活，适应性强，适宜就近收集原料、就地加工转换、就近消费。经过近几年的大力推广，我市现已具备收储、加工、转运等一系列成熟的生物质能源化产业链条，可用于城乡结合部及农村取暖，在用户侧直接替代煤炭。推进现有农林生物质电厂供热改造工程，依托国能生物质发电厂、德惠市垃圾焚烧电厂对其进行热电联产改造，为周边区域集中供暖。</w:t>
      </w:r>
    </w:p>
    <w:p>
      <w:pPr>
        <w:spacing w:line="360" w:lineRule="auto"/>
        <w:ind w:firstLine="560" w:firstLineChars="200"/>
        <w:jc w:val="left"/>
        <w:rPr>
          <w:rFonts w:ascii="仿宋" w:hAnsi="仿宋" w:eastAsia="仿宋" w:cs="宋体"/>
          <w:kern w:val="0"/>
          <w:sz w:val="28"/>
          <w:szCs w:val="32"/>
        </w:rPr>
      </w:pPr>
      <w:r>
        <w:rPr>
          <w:rFonts w:hint="eastAsia" w:ascii="仿宋" w:hAnsi="仿宋" w:eastAsia="仿宋" w:cs="宋体"/>
          <w:kern w:val="0"/>
          <w:sz w:val="28"/>
          <w:szCs w:val="32"/>
        </w:rPr>
        <w:t>太阳能供暖。太阳能热利用技术成熟，已广泛用于生活及工业热水供应。在资源丰富地区，太阳能适合与其他能源结合，实现热水、供暖复合系统的应用。大力推广太阳能供暖。积极推进太阳能与常规能源融合，采取集中式与分布式结合的方式进行建筑供暖。鼓励在条件适宜的民用及公共建筑上推广太阳能供暖系统。在农业大棚、养殖场等用热需求大且与太阳能特性匹配的行业，充分利用太阳能供热。</w:t>
      </w:r>
    </w:p>
    <w:p>
      <w:pPr>
        <w:spacing w:line="360" w:lineRule="auto"/>
        <w:jc w:val="left"/>
        <w:rPr>
          <w:rFonts w:ascii="仿宋" w:hAnsi="仿宋" w:eastAsia="仿宋" w:cs="宋体"/>
          <w:b/>
          <w:bCs/>
          <w:sz w:val="28"/>
          <w:szCs w:val="28"/>
          <w:highlight w:val="yellow"/>
        </w:rPr>
      </w:pPr>
      <w:r>
        <w:rPr>
          <w:rFonts w:hint="eastAsia" w:ascii="仿宋" w:hAnsi="仿宋" w:eastAsia="仿宋" w:cs="宋体"/>
          <w:kern w:val="0"/>
          <w:sz w:val="28"/>
          <w:szCs w:val="32"/>
        </w:rPr>
        <w:t xml:space="preserve">    进一步推动太阳能热水应用。以棚户区改造等项目为依托，加大太阳能热水系统推广力度，推动太阳能热水规模化应用。支持农村居民安装使用太阳能热水器，在农村推行太阳能公共浴室工程。在城市新建、改建、扩建的有稳定热水需求的公共建筑和住宅建筑上，推动太阳能热水系统与建筑的统筹规划、设计和应用。</w:t>
      </w:r>
    </w:p>
    <w:p>
      <w:pPr>
        <w:spacing w:line="360" w:lineRule="auto"/>
        <w:ind w:firstLine="562" w:firstLineChars="200"/>
        <w:rPr>
          <w:rFonts w:ascii="仿宋" w:hAnsi="仿宋" w:eastAsia="仿宋" w:cs="宋体"/>
          <w:sz w:val="28"/>
          <w:szCs w:val="28"/>
        </w:rPr>
      </w:pPr>
      <w:r>
        <w:rPr>
          <w:rFonts w:hint="eastAsia" w:ascii="仿宋" w:hAnsi="仿宋" w:eastAsia="仿宋" w:cs="宋体"/>
          <w:b/>
          <w:bCs/>
          <w:sz w:val="28"/>
          <w:szCs w:val="28"/>
        </w:rPr>
        <w:t>增大节能建筑比重。</w:t>
      </w:r>
      <w:r>
        <w:rPr>
          <w:rFonts w:hint="eastAsia" w:ascii="仿宋" w:hAnsi="仿宋" w:eastAsia="仿宋" w:cs="宋体"/>
          <w:sz w:val="28"/>
          <w:szCs w:val="28"/>
        </w:rPr>
        <w:t>提高建筑用能效率，全市新建建筑全面执行国家65%建筑节能强制性标准；提高建筑门窗等关键部位节能性能要求，稳步推进既有建筑节能改造；积极开展超低能耗建筑、近零能耗建筑建设示范；鼓励农房按照节能标准建设和改造，提升围护结构保温性能，着力推动被动式太阳房建设。</w:t>
      </w:r>
    </w:p>
    <w:p>
      <w:pPr>
        <w:pStyle w:val="40"/>
        <w:spacing w:line="360" w:lineRule="auto"/>
        <w:ind w:firstLine="560" w:firstLineChars="200"/>
        <w:jc w:val="left"/>
        <w:rPr>
          <w:rFonts w:ascii="仿宋" w:hAnsi="仿宋" w:eastAsia="仿宋"/>
          <w:sz w:val="28"/>
          <w:szCs w:val="28"/>
          <w:lang w:val="en-US" w:eastAsia="zh-CN" w:bidi="ar-SA"/>
        </w:rPr>
      </w:pPr>
      <w:r>
        <w:rPr>
          <w:rFonts w:hint="eastAsia" w:ascii="仿宋" w:hAnsi="仿宋" w:eastAsia="仿宋"/>
          <w:sz w:val="28"/>
          <w:szCs w:val="28"/>
          <w:lang w:val="en-US" w:eastAsia="zh-CN" w:bidi="ar-SA"/>
        </w:rPr>
        <w:t>大力推进既有建筑居住建筑工人计量和节能改造，完成既有居住建筑供热计量及节能改造。到2022年底，全市城镇新建建筑中绿色建筑面积占比达到70%,到2025年底，当年全市城镇新建建筑中绿色建筑面积占比达到80%,城镇建筑设计阶段要100%达到节能标准要求。</w:t>
      </w:r>
    </w:p>
    <w:p>
      <w:pPr>
        <w:pStyle w:val="40"/>
        <w:spacing w:line="360" w:lineRule="auto"/>
        <w:ind w:firstLine="560" w:firstLineChars="200"/>
        <w:jc w:val="left"/>
        <w:rPr>
          <w:rFonts w:ascii="仿宋" w:hAnsi="仿宋" w:eastAsia="仿宋"/>
          <w:sz w:val="28"/>
          <w:szCs w:val="28"/>
          <w:lang w:val="en-US" w:eastAsia="zh-CN" w:bidi="ar-SA"/>
        </w:rPr>
      </w:pPr>
      <w:r>
        <w:rPr>
          <w:rFonts w:hint="eastAsia" w:ascii="仿宋" w:hAnsi="仿宋" w:eastAsia="仿宋"/>
          <w:sz w:val="28"/>
          <w:szCs w:val="28"/>
          <w:lang w:val="en-US" w:eastAsia="zh-CN" w:bidi="ar-SA"/>
        </w:rPr>
        <w:t>加快调整能源结构，提高能源利用效率，推广生物质热电联产、生物质成型燃料锅炉及生物天然气等清洁能源。加快节能新技术、新产品研发与推广应用，推进工业、建筑、交通等领域节能降耗。</w:t>
      </w:r>
    </w:p>
    <w:p>
      <w:pPr>
        <w:pStyle w:val="37"/>
        <w:numPr>
          <w:ilvl w:val="0"/>
          <w:numId w:val="2"/>
        </w:numPr>
        <w:spacing w:line="360" w:lineRule="auto"/>
        <w:outlineLvl w:val="2"/>
        <w:rPr>
          <w:rFonts w:ascii="仿宋" w:hAnsi="仿宋" w:eastAsia="仿宋" w:cs="宋体"/>
          <w:b/>
          <w:bCs/>
          <w:color w:val="auto"/>
          <w:sz w:val="28"/>
          <w:szCs w:val="28"/>
        </w:rPr>
      </w:pPr>
      <w:bookmarkStart w:id="30" w:name="_Toc65597843"/>
      <w:bookmarkStart w:id="31" w:name="_Toc1587"/>
      <w:r>
        <w:rPr>
          <w:rFonts w:hint="eastAsia" w:ascii="仿宋" w:hAnsi="仿宋" w:eastAsia="仿宋" w:cs="宋体"/>
          <w:b/>
          <w:bCs/>
          <w:color w:val="auto"/>
          <w:sz w:val="28"/>
          <w:szCs w:val="28"/>
        </w:rPr>
        <w:t>优化产业结构，促进产业升级改造</w:t>
      </w:r>
      <w:bookmarkEnd w:id="30"/>
      <w:bookmarkEnd w:id="31"/>
    </w:p>
    <w:p>
      <w:pPr>
        <w:spacing w:line="360" w:lineRule="auto"/>
        <w:outlineLvl w:val="3"/>
        <w:rPr>
          <w:rFonts w:ascii="仿宋" w:hAnsi="仿宋" w:eastAsia="仿宋" w:cs="宋体"/>
          <w:bCs/>
          <w:sz w:val="30"/>
          <w:szCs w:val="32"/>
        </w:rPr>
      </w:pPr>
      <w:bookmarkStart w:id="32" w:name="_Toc59366137"/>
      <w:r>
        <w:rPr>
          <w:rFonts w:hint="eastAsia" w:ascii="仿宋" w:hAnsi="仿宋" w:eastAsia="仿宋" w:cs="宋体"/>
          <w:bCs/>
          <w:sz w:val="30"/>
          <w:szCs w:val="32"/>
        </w:rPr>
        <w:t>（1）严格环境准入，促进落后产能淘汰压减</w:t>
      </w:r>
      <w:bookmarkEnd w:id="32"/>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调整优化产业结构，严格环境准入管理，培育绿色环保产业，推动经济效率低、污染排放多、资源消耗大的工业向低能低耗、集约高效利用转型，推动构建科技含量高、资源消耗低、环境污染少的产业结构。</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依照“三线一单”，淘汰不符合生态环境功能定位的产业布局、产业规模和产业结构，明确禁止和限制发展的行业和生产工艺。</w:t>
      </w:r>
    </w:p>
    <w:p>
      <w:pPr>
        <w:pStyle w:val="27"/>
        <w:spacing w:line="360" w:lineRule="auto"/>
        <w:ind w:left="0" w:firstLine="560" w:firstLineChars="200"/>
        <w:jc w:val="both"/>
        <w:rPr>
          <w:rFonts w:cs="宋体"/>
          <w:kern w:val="2"/>
          <w:sz w:val="28"/>
          <w:szCs w:val="28"/>
          <w:lang w:val="en-US" w:bidi="ar-SA"/>
        </w:rPr>
      </w:pPr>
      <w:bookmarkStart w:id="33" w:name="_Toc59366139"/>
      <w:r>
        <w:rPr>
          <w:rFonts w:hint="eastAsia" w:cs="宋体"/>
          <w:kern w:val="2"/>
          <w:sz w:val="28"/>
          <w:szCs w:val="28"/>
          <w:lang w:val="en-US" w:bidi="ar-SA"/>
        </w:rPr>
        <w:t>对重点行业动态调整落后产能门槛，继续强化监察制度，加快转型升级。对本地改建项目实行污染物排放2倍量削减替代，其他行业项目污染物排放量削减比例不低于1.5:1，并将替代方案落实到企业排污许可证中，纳入环境执法管理。所有改建耗煤项目，新增燃煤一律实施最高标准执行替代，并且要求排污强度、能效和碳排放水平达到国内先进水平。</w:t>
      </w:r>
    </w:p>
    <w:p>
      <w:pPr>
        <w:spacing w:line="360" w:lineRule="auto"/>
        <w:outlineLvl w:val="3"/>
        <w:rPr>
          <w:rFonts w:ascii="仿宋" w:hAnsi="仿宋" w:eastAsia="仿宋" w:cs="宋体"/>
          <w:bCs/>
          <w:sz w:val="30"/>
          <w:szCs w:val="32"/>
        </w:rPr>
      </w:pPr>
      <w:r>
        <w:rPr>
          <w:rFonts w:hint="eastAsia" w:ascii="仿宋" w:hAnsi="仿宋" w:eastAsia="仿宋" w:cs="宋体"/>
          <w:bCs/>
          <w:sz w:val="30"/>
          <w:szCs w:val="32"/>
        </w:rPr>
        <w:t>（2）聚焦重点行业绿色转型，促进产业升级改造</w:t>
      </w:r>
      <w:bookmarkEnd w:id="33"/>
    </w:p>
    <w:p>
      <w:pPr>
        <w:spacing w:line="360" w:lineRule="auto"/>
        <w:ind w:firstLine="562" w:firstLineChars="200"/>
        <w:rPr>
          <w:rFonts w:ascii="仿宋" w:hAnsi="仿宋" w:eastAsia="仿宋" w:cs="宋体"/>
          <w:sz w:val="28"/>
          <w:szCs w:val="28"/>
        </w:rPr>
      </w:pPr>
      <w:r>
        <w:rPr>
          <w:rFonts w:hint="eastAsia" w:ascii="仿宋" w:hAnsi="仿宋" w:eastAsia="仿宋" w:cs="宋体"/>
          <w:b/>
          <w:bCs/>
          <w:sz w:val="28"/>
          <w:szCs w:val="28"/>
        </w:rPr>
        <w:t>实施企业技术改造与节能减排。</w:t>
      </w:r>
      <w:r>
        <w:rPr>
          <w:rFonts w:hint="eastAsia" w:ascii="仿宋" w:hAnsi="仿宋" w:eastAsia="仿宋" w:cs="宋体"/>
          <w:sz w:val="28"/>
          <w:szCs w:val="28"/>
        </w:rPr>
        <w:t>推广先进适用清洁生产技术、工艺和装备，以火电、水泥、建材等资源消耗大、能耗高、污染重的行业为重点，有效推进重点行业企业清洁生产。</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开展重点企业节能低碳行动计划，加快建立能源管理体系，开展重点行业能效对标。实施能效“领跑者”计划，在石化、建材、农副产品加工、等行业发挥示范引领作用，推动建立高耗能行业能效水平整体提升的长效机制。全面推进石化、建材等传统制造业绿色改造升级，组织实施电机和变压器系统节能、余热余压利用、能量系统优化等节能技术改造工程。加强绿色产品、工艺推广应用，加快淘汰落后高耗能机电产品和技术。</w:t>
      </w:r>
    </w:p>
    <w:p>
      <w:pPr>
        <w:spacing w:line="360" w:lineRule="auto"/>
        <w:ind w:firstLine="562" w:firstLineChars="200"/>
        <w:rPr>
          <w:rFonts w:ascii="仿宋" w:hAnsi="仿宋" w:eastAsia="仿宋" w:cs="宋体"/>
          <w:sz w:val="28"/>
          <w:szCs w:val="28"/>
        </w:rPr>
      </w:pPr>
      <w:r>
        <w:rPr>
          <w:rFonts w:hint="eastAsia" w:ascii="仿宋" w:hAnsi="仿宋" w:eastAsia="仿宋" w:cs="宋体"/>
          <w:b/>
          <w:bCs/>
          <w:sz w:val="28"/>
          <w:szCs w:val="28"/>
        </w:rPr>
        <w:t>促进传统行业转型升级</w:t>
      </w:r>
      <w:r>
        <w:rPr>
          <w:rFonts w:hint="eastAsia" w:ascii="仿宋" w:hAnsi="仿宋" w:eastAsia="仿宋" w:cs="宋体"/>
          <w:sz w:val="28"/>
          <w:szCs w:val="28"/>
        </w:rPr>
        <w:t>。</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持续推动传统产业转型升级，加快实施新一轮技术改造，鼓励传统优势产业企业大力推进清洁生产，加快淘汰落后产能，大力推广先进技术、装备和工艺，加大节能技术改造力度，构建高效、清洁、低碳、循环的工业发展体系。此外，抓好新旧动能转换，进一步激发企业自主创新动力，实施高企树标提质工程，提升规上工业企业的研发水平，补齐科技创新短板，提升企业核心竞争力。</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深入分析产业现状、科学确定主导产业，深化供给侧结构性改革，大力发展低能耗、高附加值的新兴产业和高端制造业，着力推进传统制造行业的清洁化、低碳化改造。</w:t>
      </w:r>
    </w:p>
    <w:p>
      <w:pPr>
        <w:spacing w:line="360" w:lineRule="auto"/>
        <w:ind w:firstLine="562" w:firstLineChars="200"/>
        <w:rPr>
          <w:rFonts w:ascii="仿宋" w:hAnsi="仿宋" w:eastAsia="仿宋" w:cs="宋体"/>
          <w:sz w:val="28"/>
          <w:szCs w:val="28"/>
        </w:rPr>
      </w:pPr>
      <w:r>
        <w:rPr>
          <w:rFonts w:hint="eastAsia" w:ascii="仿宋" w:hAnsi="仿宋" w:eastAsia="仿宋" w:cs="宋体"/>
          <w:b/>
          <w:bCs/>
          <w:sz w:val="28"/>
          <w:szCs w:val="28"/>
        </w:rPr>
        <w:t>持续整治“散乱污”企业。</w:t>
      </w:r>
      <w:r>
        <w:rPr>
          <w:rFonts w:hint="eastAsia" w:ascii="仿宋" w:hAnsi="仿宋" w:eastAsia="仿宋" w:cs="宋体"/>
          <w:sz w:val="28"/>
          <w:szCs w:val="28"/>
        </w:rPr>
        <w:t>严查整治“散乱污”企业和小作坊。按照“治理改造一批、关停取缔一批、搬迁入园一批”的要求，依法依规整治排污的“散乱污”企业。各乡(镇)进一步强化环境监管执法，开展联合执法，依法严厉打击超标排放、偷排偷放行为。持续开展“散乱污”企业及集群综合整治，对“散乱污”企业采取关停取缔、搬迁入园和提标改造等措施。做到排查无遗漏、整治无盲区。建立“散乱污”企业动态管理机制，实施负责人分包制和网格化管理制，建立常态化巡查机制、定期报告制度和协调联动的责任机制，重点整治工业聚集区、工业园“散乱污”工业企业，监管和整治不留死角，坚决杜绝“散乱污”企业项目建设和已取缔的“散乱污”企业异地转移、死灰复燃。严格按照“先停后治、一企一策”政策要求对散乱污企业实行取缔关停和搬迁改造，并建立排查情况整改台账，定期开展督导检查和整治效果核查。到2025年分两个阶段完成全部“散乱污”企业的综合整治工作。</w:t>
      </w:r>
    </w:p>
    <w:p>
      <w:pPr>
        <w:spacing w:line="360" w:lineRule="auto"/>
        <w:outlineLvl w:val="3"/>
        <w:rPr>
          <w:rFonts w:ascii="仿宋" w:hAnsi="仿宋" w:eastAsia="仿宋" w:cs="宋体"/>
          <w:bCs/>
          <w:sz w:val="30"/>
          <w:szCs w:val="32"/>
        </w:rPr>
      </w:pPr>
      <w:r>
        <w:rPr>
          <w:rFonts w:hint="eastAsia" w:ascii="仿宋" w:hAnsi="仿宋" w:eastAsia="仿宋" w:cs="宋体"/>
          <w:bCs/>
          <w:sz w:val="30"/>
          <w:szCs w:val="32"/>
        </w:rPr>
        <w:t>（3）实施区域重点行业管控</w:t>
      </w:r>
    </w:p>
    <w:p>
      <w:pPr>
        <w:spacing w:line="360" w:lineRule="auto"/>
        <w:ind w:firstLine="562" w:firstLineChars="200"/>
        <w:contextualSpacing/>
        <w:rPr>
          <w:rFonts w:ascii="仿宋" w:hAnsi="仿宋" w:eastAsia="仿宋" w:cs="宋体"/>
          <w:sz w:val="28"/>
          <w:szCs w:val="28"/>
        </w:rPr>
      </w:pPr>
      <w:r>
        <w:rPr>
          <w:rFonts w:hint="eastAsia" w:ascii="仿宋" w:hAnsi="仿宋" w:eastAsia="仿宋" w:cs="宋体"/>
          <w:b/>
          <w:sz w:val="28"/>
          <w:szCs w:val="28"/>
        </w:rPr>
        <w:t>电力行业控制装机总容量。</w:t>
      </w:r>
      <w:r>
        <w:rPr>
          <w:rFonts w:hint="eastAsia" w:ascii="仿宋" w:hAnsi="仿宋" w:eastAsia="仿宋" w:cs="宋体"/>
          <w:sz w:val="28"/>
          <w:szCs w:val="28"/>
        </w:rPr>
        <w:t>严控火电燃煤机组增长速度，优化煤电、气电占比，协调煤电与可再生能源关系，为火电行业碳减排做好基础工作。加强对火电企业固定污染源烟气排放连续监测系统的可靠性评价和监管。</w:t>
      </w:r>
    </w:p>
    <w:p>
      <w:pPr>
        <w:pStyle w:val="37"/>
        <w:spacing w:line="360" w:lineRule="auto"/>
        <w:ind w:firstLine="562" w:firstLineChars="200"/>
        <w:rPr>
          <w:rFonts w:ascii="仿宋" w:hAnsi="仿宋" w:eastAsia="仿宋" w:cs="宋体"/>
          <w:color w:val="auto"/>
          <w:sz w:val="28"/>
          <w:szCs w:val="28"/>
        </w:rPr>
      </w:pPr>
      <w:r>
        <w:rPr>
          <w:rFonts w:hint="eastAsia" w:ascii="仿宋" w:hAnsi="仿宋" w:eastAsia="仿宋" w:cs="宋体"/>
          <w:b/>
          <w:color w:val="auto"/>
          <w:sz w:val="28"/>
          <w:szCs w:val="28"/>
        </w:rPr>
        <w:t>包装印刷和工业涂装行业加强工艺改造和原料替代。</w:t>
      </w:r>
      <w:r>
        <w:rPr>
          <w:rFonts w:hint="eastAsia" w:ascii="仿宋" w:hAnsi="仿宋" w:eastAsia="仿宋" w:cs="宋体"/>
          <w:bCs/>
          <w:color w:val="auto"/>
          <w:sz w:val="28"/>
          <w:szCs w:val="28"/>
        </w:rPr>
        <w:t>包装印刷行业。推广使用植物油基油墨、辐射固化油墨、低（无）醇润版液等低（无）VOCs含量原辅材料和无水印刷、橡皮布自动清洗等技术。加强无组织排放控制。加强含VOCs物料储存、调配、输送、使用等工艺环节VOCs无组织逸散控制，含VOCs物料储存和输送过程应保持密闭。在工艺设计工程中尽量减少工艺过程中含VOCs溶剂的使用；工业涂装行业强化源头控制，加快使用粉末、水性、高固体分等低VOCs含量的涂料替代溶剂型涂料大力推广使用水性涂料，木质家具制造大力推广使用水性、辐射固化、粉末等涂料和水性胶粘剂。涂料、稀释剂、清洗剂等原辅材料应密闭存储，调配、使用、回收等过程应采用密闭设备或在密闭空间内操作，采用密闭管道或密闭容器等输送。</w:t>
      </w:r>
    </w:p>
    <w:p>
      <w:pPr>
        <w:pStyle w:val="37"/>
        <w:numPr>
          <w:ilvl w:val="0"/>
          <w:numId w:val="2"/>
        </w:numPr>
        <w:spacing w:line="360" w:lineRule="auto"/>
        <w:ind w:firstLine="562" w:firstLineChars="200"/>
        <w:outlineLvl w:val="2"/>
        <w:rPr>
          <w:rFonts w:ascii="仿宋" w:hAnsi="仿宋" w:eastAsia="仿宋" w:cs="宋体"/>
          <w:color w:val="auto"/>
          <w:sz w:val="28"/>
          <w:szCs w:val="28"/>
        </w:rPr>
      </w:pPr>
      <w:bookmarkStart w:id="34" w:name="_Toc65597844"/>
      <w:bookmarkStart w:id="35" w:name="_Toc15010"/>
      <w:r>
        <w:rPr>
          <w:rFonts w:hint="eastAsia" w:ascii="仿宋" w:hAnsi="仿宋" w:eastAsia="仿宋" w:cs="宋体"/>
          <w:b/>
          <w:bCs/>
          <w:color w:val="auto"/>
          <w:sz w:val="28"/>
          <w:szCs w:val="28"/>
        </w:rPr>
        <w:t>调整运输结构，打造绿色出行环境</w:t>
      </w:r>
      <w:bookmarkEnd w:id="34"/>
      <w:bookmarkEnd w:id="35"/>
      <w:bookmarkStart w:id="36" w:name="_Toc59366145"/>
    </w:p>
    <w:p>
      <w:pPr>
        <w:pStyle w:val="37"/>
        <w:spacing w:line="360" w:lineRule="auto"/>
        <w:ind w:firstLine="280" w:firstLineChars="100"/>
        <w:outlineLvl w:val="3"/>
        <w:rPr>
          <w:rFonts w:ascii="仿宋" w:hAnsi="仿宋" w:eastAsia="仿宋" w:cs="宋体"/>
          <w:color w:val="auto"/>
          <w:sz w:val="28"/>
          <w:szCs w:val="28"/>
        </w:rPr>
      </w:pPr>
      <w:r>
        <w:rPr>
          <w:rFonts w:hint="eastAsia" w:ascii="仿宋" w:hAnsi="仿宋" w:eastAsia="仿宋" w:cs="宋体"/>
          <w:color w:val="auto"/>
          <w:sz w:val="28"/>
          <w:szCs w:val="28"/>
        </w:rPr>
        <w:t>（1）推广新能源车辆使用，加强新车环保达标监管</w:t>
      </w:r>
      <w:bookmarkEnd w:id="36"/>
    </w:p>
    <w:p>
      <w:pPr>
        <w:pStyle w:val="5"/>
        <w:ind w:firstLine="562"/>
        <w:rPr>
          <w:rFonts w:ascii="仿宋" w:hAnsi="仿宋" w:cs="宋体"/>
          <w:b/>
          <w:bCs/>
          <w:szCs w:val="28"/>
        </w:rPr>
      </w:pPr>
      <w:r>
        <w:rPr>
          <w:rFonts w:hint="eastAsia" w:ascii="仿宋" w:hAnsi="仿宋" w:cs="宋体"/>
          <w:b/>
          <w:szCs w:val="28"/>
        </w:rPr>
        <w:t>实施公交优先战略。</w:t>
      </w:r>
      <w:r>
        <w:rPr>
          <w:rFonts w:hint="eastAsia" w:ascii="仿宋" w:hAnsi="仿宋" w:cs="宋体"/>
          <w:szCs w:val="28"/>
        </w:rPr>
        <w:t>优化调整运输结构，优先发展公共交通。优化重要交通节点设置，促进城市内外交通便利衔接和城乡客运一体化发展，营造支持公交优先、践行公共出行的良好社会氛围。鼓励将不同等级道路的自行车道、慢行步行道建成完整网络，打造安全、通畅、舒适、宜人的绿色出行环境。</w:t>
      </w:r>
    </w:p>
    <w:p>
      <w:pPr>
        <w:pStyle w:val="5"/>
        <w:ind w:firstLine="562"/>
        <w:rPr>
          <w:rFonts w:ascii="仿宋" w:hAnsi="仿宋" w:cs="宋体"/>
          <w:szCs w:val="28"/>
        </w:rPr>
      </w:pPr>
      <w:r>
        <w:rPr>
          <w:rFonts w:hint="eastAsia" w:ascii="仿宋" w:hAnsi="仿宋" w:cs="宋体"/>
          <w:b/>
          <w:bCs/>
          <w:szCs w:val="28"/>
        </w:rPr>
        <w:t>加快老旧车辆淘汰。</w:t>
      </w:r>
      <w:r>
        <w:rPr>
          <w:rFonts w:hint="eastAsia" w:ascii="仿宋" w:hAnsi="仿宋" w:cs="宋体"/>
          <w:szCs w:val="28"/>
        </w:rPr>
        <w:t>完善老旧车辆数据库信息系统，及时准确传输共享信息资源。采取经济补偿、引导更新、限制使用、加强老旧柴油货车和燃气车监管执法等综合措施，促进和鼓励国三柴油货车、“油改气”的老旧燃气车辆提前淘汰。国三及以下排放标准中重型柴油货车严格按照限制通行区域行驶。从源头推进交通体系清洁化。制定营运柴油货车和燃气车辆提前淘汰更新目标及实施计划，积极推广使用达到国VI标准的燃气车辆。持续推进国四及以下柴油货车、客车车辆尾气排放深度治理；对全市“油改气”的出租车尾气进行达标检验，未达标车辆逐步淘汰。强化报废车辆注销登记、回收拆解、路面巡查等环节的全过程监督管理，严厉打击报废车辆上路行驶。</w:t>
      </w:r>
    </w:p>
    <w:p>
      <w:pPr>
        <w:pStyle w:val="5"/>
        <w:ind w:firstLine="562"/>
        <w:rPr>
          <w:rFonts w:ascii="仿宋" w:hAnsi="仿宋" w:cs="宋体"/>
          <w:szCs w:val="28"/>
        </w:rPr>
      </w:pPr>
      <w:r>
        <w:rPr>
          <w:rFonts w:hint="eastAsia" w:ascii="仿宋" w:hAnsi="仿宋" w:cs="宋体"/>
          <w:b/>
          <w:bCs/>
          <w:szCs w:val="28"/>
        </w:rPr>
        <w:t>加大新能源车辆推广力度。</w:t>
      </w:r>
      <w:r>
        <w:rPr>
          <w:rFonts w:hint="eastAsia" w:ascii="仿宋" w:hAnsi="仿宋" w:cs="宋体"/>
          <w:szCs w:val="28"/>
        </w:rPr>
        <w:t>建成区新增和更新的公交、环卫、邮政、通勤、轻型物流配送车辆优先采用新能源或清洁能源汽车，2025年底前，绿色公共交通车辆比率达到80%。旅游区、铁路货场，企业厂区作业等新增或更换作业车辆优先采用新能源或达到国六排放标准的天然气等清洁能源汽车。推广新能源城市物流配送车辆，优化城市物流配送车辆结构。全市新增、更新渣土车主要采用新能源车或国六排放标准的清洁能源车辆。通过制定购车补贴、充电优惠、减免停车费等政策，鼓励个人购置新能源汽车，逐步提高个人新能源汽车指标在总量中的占比。</w:t>
      </w:r>
    </w:p>
    <w:p>
      <w:pPr>
        <w:spacing w:line="360" w:lineRule="auto"/>
        <w:ind w:firstLine="562" w:firstLineChars="200"/>
        <w:contextualSpacing/>
        <w:rPr>
          <w:rFonts w:ascii="仿宋" w:hAnsi="仿宋" w:eastAsia="仿宋" w:cs="宋体"/>
          <w:sz w:val="28"/>
          <w:szCs w:val="28"/>
        </w:rPr>
      </w:pPr>
      <w:r>
        <w:rPr>
          <w:rFonts w:hint="eastAsia" w:ascii="仿宋" w:hAnsi="仿宋" w:eastAsia="仿宋" w:cs="宋体"/>
          <w:b/>
          <w:sz w:val="28"/>
          <w:szCs w:val="28"/>
        </w:rPr>
        <w:t>推动货物运输“公转铁”。</w:t>
      </w:r>
      <w:r>
        <w:rPr>
          <w:rFonts w:hint="eastAsia" w:ascii="仿宋" w:hAnsi="仿宋" w:eastAsia="仿宋" w:cs="宋体"/>
          <w:sz w:val="28"/>
          <w:szCs w:val="28"/>
        </w:rPr>
        <w:t>依托铁路物流基地，推进多式联运型和干支衔接型货运枢纽（物流园区）建设，</w:t>
      </w:r>
      <w:r>
        <w:rPr>
          <w:rFonts w:hint="eastAsia" w:ascii="仿宋" w:hAnsi="仿宋" w:eastAsia="仿宋" w:cs="宋体"/>
          <w:kern w:val="0"/>
          <w:sz w:val="28"/>
          <w:szCs w:val="28"/>
        </w:rPr>
        <w:t>大幅度提高大宗货物铁路运输</w:t>
      </w:r>
      <w:r>
        <w:rPr>
          <w:rFonts w:hint="eastAsia" w:ascii="仿宋" w:hAnsi="仿宋" w:eastAsia="仿宋" w:cs="宋体"/>
          <w:sz w:val="28"/>
          <w:szCs w:val="28"/>
        </w:rPr>
        <w:t>比例</w:t>
      </w:r>
      <w:r>
        <w:rPr>
          <w:rFonts w:hint="eastAsia" w:ascii="仿宋" w:hAnsi="仿宋" w:eastAsia="仿宋" w:cs="宋体"/>
          <w:kern w:val="0"/>
          <w:sz w:val="28"/>
          <w:szCs w:val="28"/>
        </w:rPr>
        <w:t>，提高城市配送领域新能源货车的使用比例。</w:t>
      </w:r>
    </w:p>
    <w:p>
      <w:pPr>
        <w:pStyle w:val="37"/>
        <w:spacing w:line="360" w:lineRule="auto"/>
        <w:ind w:firstLine="280" w:firstLineChars="100"/>
        <w:outlineLvl w:val="3"/>
        <w:rPr>
          <w:rFonts w:ascii="仿宋" w:hAnsi="仿宋" w:eastAsia="仿宋" w:cs="宋体"/>
          <w:color w:val="auto"/>
          <w:sz w:val="28"/>
          <w:szCs w:val="28"/>
        </w:rPr>
      </w:pPr>
      <w:bookmarkStart w:id="37" w:name="_Toc59366147"/>
      <w:r>
        <w:rPr>
          <w:rFonts w:hint="eastAsia" w:ascii="仿宋" w:hAnsi="仿宋" w:eastAsia="仿宋" w:cs="宋体"/>
          <w:color w:val="auto"/>
          <w:sz w:val="28"/>
          <w:szCs w:val="28"/>
        </w:rPr>
        <w:t>（2）摸清非道路移动机械底数，强化大气污染排放监管</w:t>
      </w:r>
      <w:bookmarkEnd w:id="37"/>
    </w:p>
    <w:p>
      <w:pPr>
        <w:pStyle w:val="5"/>
        <w:ind w:firstLine="562"/>
        <w:rPr>
          <w:rFonts w:ascii="仿宋" w:hAnsi="仿宋" w:cs="宋体"/>
          <w:szCs w:val="28"/>
        </w:rPr>
      </w:pPr>
      <w:r>
        <w:rPr>
          <w:rFonts w:hint="eastAsia" w:ascii="仿宋" w:hAnsi="仿宋" w:cs="宋体"/>
          <w:b/>
          <w:bCs/>
          <w:szCs w:val="28"/>
        </w:rPr>
        <w:t>建立非道路移动机械信息编码登记制度。</w:t>
      </w:r>
      <w:r>
        <w:rPr>
          <w:rFonts w:hint="eastAsia" w:ascii="仿宋" w:hAnsi="仿宋" w:cs="宋体"/>
          <w:szCs w:val="28"/>
        </w:rPr>
        <w:t>执行“一车一档”制度，完善非道路移动源管理电子台账清单，在用非道路移动机械所有人或者使用人需在2022年12月前完成申报登记；新购置或外地转入的非道路移动机械需在购置或转入30日内申报登记；生态环境部门对申报信息进行审核、编码；非道路移动机械销售单位应建立台账，对所售机械进行信息存档，同时负责告知并协助机械购置单位或个人在购入机械按时完成编码登记工作。2025年底前，建成非道路移动机械监管平台。</w:t>
      </w:r>
    </w:p>
    <w:p>
      <w:pPr>
        <w:numPr>
          <w:ilvl w:val="0"/>
          <w:numId w:val="1"/>
        </w:numPr>
        <w:outlineLvl w:val="1"/>
        <w:rPr>
          <w:rFonts w:ascii="仿宋" w:hAnsi="仿宋" w:eastAsia="仿宋" w:cs="宋体"/>
          <w:b/>
          <w:bCs/>
          <w:sz w:val="28"/>
          <w:szCs w:val="28"/>
        </w:rPr>
      </w:pPr>
      <w:bookmarkStart w:id="38" w:name="_Toc21075"/>
      <w:bookmarkStart w:id="39" w:name="_Toc65597845"/>
      <w:r>
        <w:rPr>
          <w:rFonts w:hint="eastAsia" w:ascii="仿宋" w:hAnsi="仿宋" w:eastAsia="仿宋" w:cs="宋体"/>
          <w:b/>
          <w:bCs/>
          <w:sz w:val="28"/>
          <w:szCs w:val="28"/>
        </w:rPr>
        <w:t>精细管控，改善大气环境</w:t>
      </w:r>
      <w:bookmarkEnd w:id="38"/>
      <w:bookmarkEnd w:id="39"/>
    </w:p>
    <w:p>
      <w:pPr>
        <w:pStyle w:val="5"/>
        <w:numPr>
          <w:ilvl w:val="0"/>
          <w:numId w:val="3"/>
        </w:numPr>
        <w:ind w:firstLine="560"/>
        <w:outlineLvl w:val="2"/>
        <w:rPr>
          <w:rFonts w:ascii="仿宋" w:hAnsi="仿宋" w:cs="宋体"/>
          <w:szCs w:val="28"/>
        </w:rPr>
      </w:pPr>
      <w:bookmarkStart w:id="40" w:name="_Toc65597846"/>
      <w:bookmarkStart w:id="41" w:name="_Toc10992"/>
      <w:r>
        <w:rPr>
          <w:rFonts w:hint="eastAsia" w:ascii="仿宋" w:hAnsi="仿宋" w:cs="宋体"/>
          <w:szCs w:val="28"/>
        </w:rPr>
        <w:t>完善大气环境综合管理</w:t>
      </w:r>
      <w:bookmarkEnd w:id="40"/>
      <w:bookmarkEnd w:id="41"/>
    </w:p>
    <w:p>
      <w:pPr>
        <w:spacing w:line="360" w:lineRule="auto"/>
        <w:ind w:firstLine="560" w:firstLineChars="200"/>
        <w:rPr>
          <w:rFonts w:ascii="仿宋" w:hAnsi="仿宋" w:eastAsia="仿宋" w:cs="宋体"/>
          <w:sz w:val="28"/>
          <w:szCs w:val="28"/>
        </w:rPr>
      </w:pPr>
      <w:bookmarkStart w:id="42" w:name="_Toc59366166"/>
      <w:bookmarkStart w:id="43" w:name="_Toc57641783"/>
      <w:bookmarkStart w:id="44" w:name="_Toc57642049"/>
      <w:r>
        <w:rPr>
          <w:rFonts w:hint="eastAsia" w:ascii="仿宋" w:hAnsi="仿宋" w:eastAsia="仿宋" w:cs="宋体"/>
          <w:sz w:val="28"/>
          <w:szCs w:val="28"/>
        </w:rPr>
        <w:t>强化环境监管，通过</w:t>
      </w:r>
      <w:r>
        <w:rPr>
          <w:rFonts w:hint="eastAsia" w:ascii="仿宋" w:hAnsi="仿宋" w:eastAsia="仿宋" w:cs="宋体"/>
          <w:sz w:val="28"/>
          <w:szCs w:val="28"/>
          <w:lang w:val="zh-CN"/>
        </w:rPr>
        <w:t>“双</w:t>
      </w:r>
      <w:r>
        <w:rPr>
          <w:rFonts w:hint="eastAsia" w:ascii="仿宋" w:hAnsi="仿宋" w:eastAsia="仿宋" w:cs="宋体"/>
          <w:sz w:val="28"/>
          <w:szCs w:val="28"/>
        </w:rPr>
        <w:t>随机、一公开”工作制度，依规开展随机执法检查工作。加强对物料堆场的管理，物料的装卸、筛分、输送、贮存等过程中釆取的覆盖、苫盖、密闭、围挡、降尘等防治措施进行严格监管治理。对大型燃煤锅炉和大型工业炉窑采取在线自动监控,对在线设施运行进行监督管理。对涉气重点行业及燃煤锅炉无组织排放等重点行业、企业开展各类执法检查整治行动，并建立管理台账。实施深度治理，从严要求企业采取无组织管理措施，确保稳定达标排放。环境空气质量优良天数及细微颗粒物（PM</w:t>
      </w:r>
      <w:r>
        <w:rPr>
          <w:rFonts w:hint="eastAsia" w:ascii="仿宋" w:hAnsi="仿宋" w:eastAsia="仿宋" w:cs="宋体"/>
          <w:sz w:val="28"/>
          <w:szCs w:val="28"/>
          <w:vertAlign w:val="subscript"/>
        </w:rPr>
        <w:t>2.5</w:t>
      </w:r>
      <w:r>
        <w:rPr>
          <w:rFonts w:hint="eastAsia" w:ascii="仿宋" w:hAnsi="仿宋" w:eastAsia="仿宋" w:cs="宋体"/>
          <w:sz w:val="28"/>
          <w:szCs w:val="28"/>
        </w:rPr>
        <w:t>）均按上级考核标准执行。</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提高污染源监控能力</w:t>
      </w:r>
      <w:bookmarkEnd w:id="42"/>
      <w:bookmarkEnd w:id="43"/>
      <w:bookmarkEnd w:id="44"/>
      <w:r>
        <w:rPr>
          <w:rFonts w:hint="eastAsia" w:ascii="仿宋" w:hAnsi="仿宋" w:eastAsia="仿宋" w:cs="宋体"/>
          <w:sz w:val="28"/>
          <w:szCs w:val="28"/>
        </w:rPr>
        <w:t>，</w:t>
      </w:r>
      <w:r>
        <w:rPr>
          <w:rFonts w:hint="eastAsia" w:ascii="仿宋" w:hAnsi="仿宋" w:eastAsia="仿宋" w:cs="宋体"/>
          <w:kern w:val="0"/>
          <w:sz w:val="28"/>
          <w:szCs w:val="28"/>
        </w:rPr>
        <w:t>改进污染源监控方式、扩大污染源和污染物监控范围、完善监测技术规范。加强卫星遥感、在线监测、热点网格、大数据、人工智能等科技手段的综合运用。推进污染源监控数据归真，切实发挥监控监管作用。按照国家统一指导、地方建设运维、数据联网共享的模式监测运行，为不同尺度大气污染成因分析、重污染过程诊断、污染防治及政策措施成效评估提供科学支持。</w:t>
      </w:r>
    </w:p>
    <w:p>
      <w:pPr>
        <w:pStyle w:val="5"/>
        <w:numPr>
          <w:ilvl w:val="0"/>
          <w:numId w:val="3"/>
        </w:numPr>
        <w:ind w:firstLine="560"/>
        <w:outlineLvl w:val="2"/>
        <w:rPr>
          <w:rFonts w:ascii="仿宋" w:hAnsi="仿宋" w:cs="宋体"/>
          <w:szCs w:val="28"/>
        </w:rPr>
      </w:pPr>
      <w:bookmarkStart w:id="45" w:name="_Toc65597847"/>
      <w:bookmarkStart w:id="46" w:name="_Toc17914"/>
      <w:r>
        <w:rPr>
          <w:rFonts w:hint="eastAsia" w:ascii="仿宋" w:hAnsi="仿宋" w:cs="宋体"/>
          <w:szCs w:val="28"/>
        </w:rPr>
        <w:t>推动多污染物减排协同增效</w:t>
      </w:r>
      <w:bookmarkEnd w:id="45"/>
      <w:bookmarkEnd w:id="46"/>
    </w:p>
    <w:p>
      <w:pPr>
        <w:widowControl/>
        <w:spacing w:line="360" w:lineRule="auto"/>
        <w:ind w:firstLine="582" w:firstLineChars="200"/>
        <w:contextualSpacing/>
        <w:rPr>
          <w:rFonts w:ascii="仿宋" w:hAnsi="仿宋" w:eastAsia="仿宋" w:cs="宋体"/>
          <w:spacing w:val="5"/>
          <w:kern w:val="0"/>
          <w:sz w:val="28"/>
          <w:szCs w:val="28"/>
        </w:rPr>
      </w:pPr>
      <w:r>
        <w:rPr>
          <w:rFonts w:hint="eastAsia" w:ascii="仿宋" w:hAnsi="仿宋" w:eastAsia="仿宋" w:cs="宋体"/>
          <w:b/>
          <w:bCs/>
          <w:spacing w:val="5"/>
          <w:kern w:val="0"/>
          <w:sz w:val="28"/>
          <w:szCs w:val="28"/>
        </w:rPr>
        <w:t>深入开展消耗臭氧层物质淘汰工作。</w:t>
      </w:r>
      <w:r>
        <w:rPr>
          <w:rFonts w:hint="eastAsia" w:ascii="仿宋" w:hAnsi="仿宋" w:eastAsia="仿宋" w:cs="宋体"/>
          <w:spacing w:val="5"/>
          <w:kern w:val="0"/>
          <w:sz w:val="28"/>
          <w:szCs w:val="28"/>
        </w:rPr>
        <w:t>完善消耗臭氧层物质的生产、使用、进出口的监管，鼓励、支持消耗臭氧层物质替代品的生产和使用，大力推动替代技术开发与应用。坚决打击消耗臭氧层物质非法生产、非法贸易活动。加强消耗臭氧层物质执法培训指导，分层分类开展执法检查，各部门实现对涉ODS生产、销售、流通、使用全链条，及企业落实环保主体责任的全方位监管。</w:t>
      </w:r>
    </w:p>
    <w:p>
      <w:pPr>
        <w:numPr>
          <w:ilvl w:val="0"/>
          <w:numId w:val="1"/>
        </w:numPr>
        <w:outlineLvl w:val="1"/>
        <w:rPr>
          <w:rFonts w:ascii="仿宋" w:hAnsi="仿宋" w:eastAsia="仿宋" w:cs="宋体"/>
          <w:b/>
          <w:bCs/>
          <w:sz w:val="28"/>
          <w:szCs w:val="28"/>
        </w:rPr>
      </w:pPr>
      <w:bookmarkStart w:id="47" w:name="_Toc65597848"/>
      <w:bookmarkStart w:id="48" w:name="_Toc14956"/>
      <w:r>
        <w:rPr>
          <w:rFonts w:hint="eastAsia" w:ascii="仿宋" w:hAnsi="仿宋" w:eastAsia="仿宋" w:cs="宋体"/>
          <w:b/>
          <w:bCs/>
          <w:sz w:val="28"/>
          <w:szCs w:val="28"/>
        </w:rPr>
        <w:t>强化大气污染物总量减排</w:t>
      </w:r>
      <w:bookmarkEnd w:id="47"/>
      <w:bookmarkEnd w:id="48"/>
    </w:p>
    <w:p>
      <w:pPr>
        <w:spacing w:line="360" w:lineRule="auto"/>
        <w:ind w:firstLine="562" w:firstLineChars="200"/>
        <w:contextualSpacing/>
        <w:rPr>
          <w:rFonts w:ascii="仿宋" w:hAnsi="仿宋" w:eastAsia="仿宋" w:cs="宋体"/>
          <w:sz w:val="28"/>
          <w:szCs w:val="28"/>
        </w:rPr>
      </w:pPr>
      <w:r>
        <w:rPr>
          <w:rFonts w:hint="eastAsia" w:ascii="仿宋" w:hAnsi="仿宋" w:eastAsia="仿宋" w:cs="宋体"/>
          <w:b/>
          <w:sz w:val="28"/>
          <w:szCs w:val="28"/>
        </w:rPr>
        <w:t>强化氮氧化物和挥发性有机物总量控制。</w:t>
      </w:r>
      <w:r>
        <w:rPr>
          <w:rFonts w:hint="eastAsia" w:ascii="仿宋" w:hAnsi="仿宋" w:eastAsia="仿宋" w:cs="宋体"/>
          <w:sz w:val="28"/>
          <w:szCs w:val="28"/>
        </w:rPr>
        <w:t>实施建材、石化、农药、工业涂装、油品储运销等重点行业领域氮氧化物和挥发性有机物深度治理，推广低治理挥发性有机物产品源头替代。着力补齐挥发性有机物控制短板，重点针对石化</w:t>
      </w:r>
    </w:p>
    <w:p>
      <w:pPr>
        <w:spacing w:line="360" w:lineRule="auto"/>
        <w:ind w:firstLine="562" w:firstLineChars="200"/>
        <w:contextualSpacing/>
        <w:rPr>
          <w:rFonts w:ascii="仿宋" w:hAnsi="仿宋" w:eastAsia="仿宋" w:cs="宋体"/>
          <w:sz w:val="28"/>
          <w:szCs w:val="28"/>
        </w:rPr>
      </w:pPr>
      <w:r>
        <w:rPr>
          <w:rFonts w:hint="eastAsia" w:ascii="仿宋" w:hAnsi="仿宋" w:eastAsia="仿宋" w:cs="宋体"/>
          <w:b/>
          <w:bCs/>
          <w:sz w:val="28"/>
          <w:szCs w:val="28"/>
        </w:rPr>
        <w:t>全面加强挥发性有机物排放源管控，</w:t>
      </w:r>
      <w:r>
        <w:rPr>
          <w:rFonts w:hint="eastAsia" w:ascii="仿宋" w:hAnsi="仿宋" w:eastAsia="仿宋" w:cs="宋体"/>
          <w:sz w:val="28"/>
          <w:szCs w:val="28"/>
        </w:rPr>
        <w:t>化工（主要包括农药、涂料、油墨、胶粘剂、化学助剂、日用化工、橡胶制品、塑料制品等子行业）</w:t>
      </w:r>
      <w:r>
        <w:rPr>
          <w:rFonts w:hint="eastAsia" w:ascii="仿宋" w:hAnsi="仿宋" w:eastAsia="仿宋" w:cs="宋体"/>
          <w:bCs/>
          <w:sz w:val="28"/>
          <w:szCs w:val="28"/>
        </w:rPr>
        <w:t>、包装印刷和工业涂装</w:t>
      </w:r>
      <w:r>
        <w:rPr>
          <w:rFonts w:hint="eastAsia" w:ascii="仿宋" w:hAnsi="仿宋" w:eastAsia="仿宋" w:cs="宋体"/>
          <w:sz w:val="28"/>
          <w:szCs w:val="28"/>
        </w:rPr>
        <w:t>等行业实施挥发性有机物总量控制。全面加强挥发性有机物无组织排放源管控，引导和要求企业合理选择治理工艺技术。针对新大石油等石化企业，一是参照行业相关要求，对石化企业密封点泄漏加强监管，深化泄漏检测与修复工作，并做好质量控制与记录管理等工作；二是推行全密闭生产工艺，加大无组织排放收集；三是鼓励企业将含VOCs废气送工艺加热炉、锅炉等直接燃烧处理，污染物排放满足石化行业相关排放标准要求</w:t>
      </w:r>
    </w:p>
    <w:p>
      <w:pPr>
        <w:spacing w:line="360" w:lineRule="auto"/>
        <w:ind w:firstLine="562" w:firstLineChars="200"/>
        <w:contextualSpacing/>
        <w:rPr>
          <w:rFonts w:ascii="仿宋" w:hAnsi="仿宋" w:eastAsia="仿宋" w:cs="宋体"/>
          <w:sz w:val="28"/>
          <w:szCs w:val="28"/>
        </w:rPr>
      </w:pPr>
      <w:r>
        <w:rPr>
          <w:rFonts w:hint="eastAsia" w:ascii="仿宋" w:hAnsi="仿宋" w:eastAsia="仿宋" w:cs="宋体"/>
          <w:b/>
          <w:sz w:val="28"/>
          <w:szCs w:val="28"/>
        </w:rPr>
        <w:t>落实污染源总量控制。</w:t>
      </w:r>
      <w:r>
        <w:rPr>
          <w:rFonts w:hint="eastAsia" w:ascii="仿宋" w:hAnsi="仿宋" w:eastAsia="仿宋" w:cs="宋体"/>
          <w:sz w:val="28"/>
          <w:szCs w:val="28"/>
        </w:rPr>
        <w:t>依托排污许可管理，对固定污染源总量指标分解、实际排放量核算及总量考核实行微观管理，实际排放量核算对接排污许可证管理中认定的实际排放量。以工程和管理任务为载体，按照“散乱污”综合整治、散煤清洁化治理、货运方式“公转铁”、老旧车淘汰、机动车治理、油品储运销综合整治等减排工程类别，明确各地非固定污染源总量控制任务，开展非固定污染源减排核算与考核。</w:t>
      </w:r>
    </w:p>
    <w:p>
      <w:pPr>
        <w:spacing w:line="360" w:lineRule="auto"/>
        <w:ind w:firstLine="562" w:firstLineChars="200"/>
        <w:contextualSpacing/>
        <w:rPr>
          <w:rFonts w:ascii="仿宋" w:hAnsi="仿宋" w:eastAsia="仿宋" w:cs="宋体"/>
          <w:b/>
          <w:bCs/>
          <w:sz w:val="28"/>
          <w:szCs w:val="28"/>
        </w:rPr>
      </w:pPr>
      <w:bookmarkStart w:id="49" w:name="_Toc59366148"/>
      <w:r>
        <w:rPr>
          <w:rFonts w:hint="eastAsia" w:ascii="仿宋" w:hAnsi="仿宋" w:eastAsia="仿宋" w:cs="宋体"/>
          <w:b/>
          <w:bCs/>
          <w:sz w:val="28"/>
          <w:szCs w:val="28"/>
        </w:rPr>
        <w:t>（四）优化调整用地结构，推进面源污染治理</w:t>
      </w:r>
      <w:bookmarkEnd w:id="49"/>
    </w:p>
    <w:p>
      <w:pPr>
        <w:spacing w:line="360" w:lineRule="auto"/>
        <w:ind w:firstLine="560" w:firstLineChars="200"/>
        <w:contextualSpacing/>
        <w:rPr>
          <w:rFonts w:ascii="仿宋" w:hAnsi="仿宋" w:eastAsia="仿宋" w:cs="宋体"/>
          <w:sz w:val="28"/>
          <w:szCs w:val="28"/>
        </w:rPr>
      </w:pPr>
      <w:bookmarkStart w:id="50" w:name="_Toc59366149"/>
      <w:r>
        <w:rPr>
          <w:rFonts w:hint="eastAsia" w:ascii="仿宋" w:hAnsi="仿宋" w:eastAsia="仿宋" w:cs="宋体"/>
          <w:sz w:val="28"/>
          <w:szCs w:val="28"/>
        </w:rPr>
        <w:t>1. 优化城市空间布局，实现城市可持续发展</w:t>
      </w:r>
      <w:bookmarkEnd w:id="50"/>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优化城市空间布局，强化空间、总量、准入环境管理。以生态格局为前提，以资源环境承载力为约束，划定城市开发边界。根据大气环境特征优化城市用地格局，构建城市多级</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建设绿色生态空间。科学划定“三区三线”，坚持空间分类管控、开发强度管控、责任分级管控，统筹城镇、农业、生态空间，确保生态保护红线、永久基本农田、城镇开发边界三条控制线落地。在构建统一的全域自然保护地分级分类管理体制的基础上，构建以重要保护地、生态环境分区、重要生态廊道等为主的国土空间生态保护格局，基本形成山清水秀、安全和谐的生态空间保护格局。</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园土空间绿化。推进园林绿化生态系统建设。建设宜居的城市环境，着力扩大城市生态空间，做好重点区域绿化美化；加强山区生态修复，实施荒山绿化，推进废弃矿山生态修复；推进园林绿化创新系统建设，建设应对气候变化能力提升和生态系统监测网络建设工程。2025年底前，全市绿化覆盖率达到41.5%，充分发挥德惠市资源优势，突出地域特色，推进全市绿道绿廊建设，完善城乡绿道绿廊网络，推动区域生态保护，提商人民生活水平。</w:t>
      </w:r>
    </w:p>
    <w:p>
      <w:pPr>
        <w:spacing w:line="360" w:lineRule="auto"/>
        <w:ind w:firstLine="560" w:firstLineChars="200"/>
        <w:contextualSpacing/>
        <w:rPr>
          <w:rFonts w:ascii="仿宋" w:hAnsi="仿宋" w:eastAsia="仿宋" w:cs="宋体"/>
          <w:sz w:val="28"/>
          <w:szCs w:val="28"/>
        </w:rPr>
      </w:pPr>
      <w:bookmarkStart w:id="51" w:name="_Toc59366150"/>
      <w:r>
        <w:rPr>
          <w:rFonts w:hint="eastAsia" w:ascii="仿宋" w:hAnsi="仿宋" w:eastAsia="仿宋" w:cs="宋体"/>
          <w:sz w:val="28"/>
          <w:szCs w:val="28"/>
        </w:rPr>
        <w:t>2. 加大扬尘防治力度，深化扬尘污染整治</w:t>
      </w:r>
      <w:bookmarkEnd w:id="51"/>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深化道路扬尘污染治理。持续保持主次街路机械化清扫率为100%，合理调度各类清扫除尘作业车辆，调整作业模式，继续开展雨中除尘降尘作业。采取机械化清扫保洁的公路路面达到路露本色、无浮土，不适宜机械化清扫的路面，保证洒水降尘常态化、有序化。加强城乡结合部道路维修，完成各乡、镇、村道路维修、黄土路硬化工作。严格运输渣土、煤炭、砂石、土方、灰浆等散装、流体物料等易产生扬尘的车辆管控，坚持“源头管控、部门联动、属地管理、分级负责、严管重罚、疏堵结合”的原则， 100%安装车载卫星定位系统。全市推广渣土运输车辆公司化、标准化和规范化“三化”管理。</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深化建成区内施工扬尘污染治理。加强建筑、拆迁、市政施工工地扬尘监管。建立施工工地“三单制”台账（问题清单、管控措施清单、责任清单），并定期动态更新，推进建设工程施工现场标准化建设，明确环保责任，落实管理措施。建立施工扬尘排污费征收制度，依据施工现场管理等级标准，实施差别化收费政策，以强化污染者的经济责任，推动政策落实、环境质量改善。建设单位应将防治扬尘污染费用纳入工程造价，并在工程承包合同中明确施工单位防治扬尘污染的责任。</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全面开展标准化施工，按照“谁施工、谁负责、谁主管、谁负责”的原则，建立施工扬尘责任追究制度和严惩重罚制度。积极推行绿色施工，督促责任单位严格落实“6个100%”（施工围挡、车辆冲洗、物料密封、道路硬化、土方湿法作业、渣土车辆密闭运输）控尘措施。新建占地面积5000m</w:t>
      </w:r>
      <w:r>
        <w:rPr>
          <w:rFonts w:hint="eastAsia" w:ascii="仿宋" w:hAnsi="仿宋" w:eastAsia="仿宋" w:cs="宋体"/>
          <w:sz w:val="28"/>
          <w:szCs w:val="28"/>
          <w:vertAlign w:val="superscript"/>
        </w:rPr>
        <w:t>2</w:t>
      </w:r>
      <w:r>
        <w:rPr>
          <w:rFonts w:hint="eastAsia" w:ascii="仿宋" w:hAnsi="仿宋" w:eastAsia="仿宋" w:cs="宋体"/>
          <w:sz w:val="28"/>
          <w:szCs w:val="28"/>
        </w:rPr>
        <w:t>以上的施工工地建设单位需在工程开工前，在施工现场周边设置全封闭实体或硬质围挡，围挡高度不得低于2.5米，根部接地不留空隙，必须稳固并符合安全要求。</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施工现场土方及易产生扬尘的散体物料应集中堆放并采取覆盖、绿化、抑尘剂固化等抑尘措施，贮存及运输均应实现密闭，不具备覆盖堆放、密闭贮存条件的，应当在其周围设置不低于堆放物高度的围挡并有效苦盖。苦盖优先使用绿植覆盖，暂不具备绿植覆盖条件的应临时使用不低于800目／平方分米的苦盖网。</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施工现场主要道路应根据用途进行硬化，应采取喷淋、喷雾或洒水等降尘措施。土方堆存及其它场地及暂时不开发区域应当进行绿化、覆盖或固化。拆除工程完成后，应将现场清理干净，裸露场地应采取绿化、覆盖或固化等防扬尘的措施。施工单位应每天根据现场情况及时进行清扫洒水（雨雪及地表结冰的天气除外）；在土方施工、建筑拆除阶段，以及干燥天气、空气重污染应急、大风天气预警等时段，应适当增加洒水次数。</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施工现场易产生扬尘的施工机械应采取降尘防尘措施。木材、石材、砌块切割等易产生扬尘的加工作业应在封闭的加工棚内进行或采取其他防尘措施；截桩、破碎、道路铣刨、建筑垃圾清运、剔凿打磨等易产生扬尘的施工应采取喷淋（雾）等湿法作业，因施工工艺无法采取湿法作业的，应采取相应降尘措施。土方工程、拆除工程应配备雾炮降尘设备或安装喷淋（雾）系统。除雨雪天气外，进行施工作业应同时进行喷雾喷淋，防止扬尘污染。</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严格落实施工工地渣土运输车辆“三不进、三不出“（无建筑垃圾处理证的车辆不许进工地，装置破损的车辆不许进工地，排放不达标车辆不许进工地；超量装载的车辆不许出工地，车身不洁、车轮带泥的车辆不许出工地，密闭不规范的车辆不许出工地）规定，禁止使用非法渣土运输车辆。易产生扬尘的建筑材料、渣土应采取密闭搬运、存储或采用防尘布苦盖等防尘措施。</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施工期超过1年的大型施工场地，适时引入环境监理制度，严格落实施工期环评措施，对于裸露1年以内的土地绿化覆盖率控制在80%以上，裸露2年以内的土地绿化率要达到90%以上，裸露3年以上的土地绿化率要达到100%。</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加强施工现场颗粒物（PM</w:t>
      </w:r>
      <w:r>
        <w:rPr>
          <w:rFonts w:hint="eastAsia" w:ascii="仿宋" w:hAnsi="仿宋" w:eastAsia="仿宋" w:cs="宋体"/>
          <w:sz w:val="28"/>
          <w:szCs w:val="28"/>
          <w:vertAlign w:val="subscript"/>
        </w:rPr>
        <w:t>10</w:t>
      </w:r>
      <w:r>
        <w:rPr>
          <w:rFonts w:hint="eastAsia" w:ascii="仿宋" w:hAnsi="仿宋" w:eastAsia="仿宋" w:cs="宋体"/>
          <w:sz w:val="28"/>
          <w:szCs w:val="28"/>
        </w:rPr>
        <w:t>）、噪声在线监测和远程视频监控系统管理。建成区内在建、新开工的占地面积5000m</w:t>
      </w:r>
      <w:r>
        <w:rPr>
          <w:rFonts w:hint="eastAsia" w:ascii="仿宋" w:hAnsi="仿宋" w:eastAsia="仿宋" w:cs="宋体"/>
          <w:sz w:val="28"/>
          <w:szCs w:val="28"/>
          <w:vertAlign w:val="superscript"/>
        </w:rPr>
        <w:t>2</w:t>
      </w:r>
      <w:r>
        <w:rPr>
          <w:rFonts w:hint="eastAsia" w:ascii="仿宋" w:hAnsi="仿宋" w:eastAsia="仿宋" w:cs="宋体"/>
          <w:sz w:val="28"/>
          <w:szCs w:val="28"/>
        </w:rPr>
        <w:t>以上的施工现场应安装颗粒物、噪声在线监测设备和远程视频监控设施，确保做到全覆盖、无遗漏、无死角，形成全市统一的扬尘可视化、智能化平台，并将视频监控系统与相关执法部门信息共享。</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深化堆场扬尘污染治理。工业企业堆场实施规范化全封闭管理。积极推进工业堆场排查整治，煤炭、水泥、石灰、石膏、砂土、矿石（粉）等易产生扬尘的物料应当密闭贮存；不具备密闭贮存条件的，应当在其周围设置不低于堆放物高度的围挡并覆盖（围挡最佳高度为堆场最高高度的1.1~1.5倍），并设有洒水、喷淋、苫盖等综合措施进行抑尘，减少产生扬尘污染。对临时堆放的易产生扬尘的渣土堆、废渣等废弃物及小型物料堆放场地，根据物料类别采用防尘网（布）对料堆表面全部覆盖，不得有裸露。卸料部位采取收尘或喷淋等抑尘措施，防控物料装卸、堆放、运输过程中的粉尘污染。</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堆场内进行搅拌、粉筛、筛选等作业时应喷水抑尘，在重污染天气时禁止进行产生扬尘的作业。物料装卸配备喷淋、集气回收等防尘措施，转运物料尽量采取封闭式皮带传送，避免作业起尘。厂区主要运输通道必须实施全面硬化并定期冲洗或湿式清扫，堆料进出口设置车辆冲洗设施，及时收集清理堆场外道路上洒落的物料。2025年底，建设完成城市工业企业堆场数据库，并组织安装工业堆场视频监控系统，与城市扬尘视频监控平台联网，实现工业企业堆场扬尘动态管理。</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新建混凝土企业生产厂区必须避开环境敏感区，远离居民集中居住区建设，并取得相应资质后方可生产经营。已有的混凝土搅拌站，应建立混凝土搅拌站扬尘整治制度，有专职人员负责；厂区内要有封闭围墙，保持混凝土搅拌站道路及场地清洁，车辆行驶时无明显扬尘；固体垃圾存放点要搭建房棚，做到地面硬化、道路完好清洁、未硬化空地进行绿化；配备砂石分离机、沉淀池等回收设备设施，对废弃物和废水进行回收、分离和再利用，垃圾要及时清运。2025年底所有混凝土搅拌企业实现生产现场扬尘远程视频实时监控管理，并进行定期抽查，对管控不到位的混凝土搅拌企业要求其进行限期整改。</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精细化管控裸土污染。全面开展裸露地面绿化、硬化、覆盖综合整治，督导土方作业区、长期闲置土地、临时渣土堆场、河道河床及主次干道两侧裸土落实有效覆盖措施。</w:t>
      </w:r>
    </w:p>
    <w:p>
      <w:pPr>
        <w:spacing w:line="360" w:lineRule="auto"/>
        <w:ind w:firstLine="560" w:firstLineChars="200"/>
        <w:contextualSpacing/>
        <w:rPr>
          <w:rFonts w:ascii="仿宋" w:hAnsi="仿宋" w:eastAsia="仿宋" w:cs="宋体"/>
          <w:sz w:val="28"/>
          <w:szCs w:val="28"/>
        </w:rPr>
      </w:pPr>
      <w:bookmarkStart w:id="52" w:name="_Toc59366151"/>
      <w:r>
        <w:rPr>
          <w:rFonts w:hint="eastAsia" w:ascii="仿宋" w:hAnsi="仿宋" w:eastAsia="仿宋" w:cs="宋体"/>
          <w:sz w:val="28"/>
          <w:szCs w:val="28"/>
        </w:rPr>
        <w:t>3. 加强秸秆禁烧管控，提升秸秆综合利用</w:t>
      </w:r>
      <w:bookmarkEnd w:id="52"/>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重点推进秸秆肥料化利用。围绕实施乡村振兴战略在秸秆深翻还田、堆沤还田和秸秆有机肥还田的基础上，主推秸秆机械混埋还田、秸秆机械翻埋还田、秸秆覆盖还田等秸秆直接还田技术和秸秆腐熟还田技术、秸秆有机肥生产技术，通过秸秆还田和秸秆有机肥的利用，实现土壤有机质含量增加、畜禽养殖废弃物与秸秆混合生产有机肥种养结合循环利用的目的，推动农业产业绿色可持续发展。在产粮大镇建立“点、片、区”梯次结合示范区。强化科技支撑，加快推广秸秆肥料化还田保护性耕作技术，建立农民骨干专业队伍和科技专家团队。</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加快推进秸秆饲料化利用。夯实秸秆饲料化利用基础设施建设，重点支持养殖场（户）建设标准化贮窖和购置秸秆饲料收贮、加工机械。加大秸秆饲料化新技术推广，逐步扩大青贮玉米种植面积，推广秸秆饲料青贮、黄贮、膨化、氨化和盐化等成熟技术。完善“企业+农户”的经营模式，积极探索“联户青（黄）贮分户使用”和“企业加工、市场销售”等新业态。稳步推进粮改饲试点，抓好饲草种植、收贮、利用三个关键环节，扩大粮改饲政策覆盖面积和实施规模。加快发展牛羊鹿等草食畜牧业，扩大秸秆饲料化利用需求。</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稳步推进秸秆能源化利用。落实全市能源发展规划，新建扩建生物质热电厂。实施生物质天然气示范项目，推广秸秆、畜禽粪便协同处理制生物天然气模式，拓展生物天然气在城乡居民炊事取暖、发电、交通燃料等领域的应用。加快秸秆成型燃料加工和燃煤供热锅炉改造，支持生物质锅炉供热一体化项目建设。有序开展农村户用炉具推广工作。</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有序推进秸秆基料化利用。积极推广秸秆食用菌基料化生产技术，扩大食用菌基料化生产规模。加快发展秸秆基质育苗产业，制作设施农业育苗基质和水稻育秧基质，以及花卉、草坪基质等。积极发展秸秆基质栽培，直接用于西红柿、黄瓜等蔬菜生产，扩大绿色种植面积。</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全面开展黑土地保护治理，推行秸秆还田、保护性耕作、粮豆轮作、粮草轮作、测土施肥、盐碱地改良等农艺措施，逐步建立可持续农业生态体系；推广秸秆“五化”综合利用技术，建立农牧结合循环农业发展模式。</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完善秸秆离田和收储运体系。以行政村为基本单元，根据秸秆产量、综合利用能力、秸秆捡拾打捆机械数量，细化秸秆离田和收储运方案。以行政村为单位制定禁烧区、限烧区秸秆离田方案，明确秸秆离田的组织形式、具体承担单位及责任人，充分利用闲置土地和空闲场地，设置临时储存场所，确保农作物收获后，除需还田秸秆外，未机收捡拾打捆和散落田间的秸秆及时清除。推广水稻低留茬收割技术，引导农民选择合适的水稻收割机型，力争水稻留茬不超过5公分。指导各辖区制定秸秆离田方案，调度秸秆离田工作进度。支持有条件的地方和企业建设秸秆储存基地，培育秸秆收集、运输等专业化合作组织，推广农作物联合收获、秸秆捡拾打捆全程机械化，逐步打造秸秆捡拾、清运和储存的一体化服务体系。实施有效的秸秆田间处理、收集、储存、运输系统模式和以市场需求为引导、多种模式互为补充的秸秆收集储运管理体系。</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加强秸秆“禁烧”管控。全面落实禁烧区和限烧区有关规定，坚决禁止秸秆露天焚烧；限烧区科学限制秸秆焚烧，在气象条件允许情况下，错时限量轮烧。研制开发小型移动式废弃秸秆燃烧炉直接布置在田间地头，移动处置秸秆捡拾打捆剩余物。不断完善并推动落实网格化监管，秸秆离田，计划烧除，包保责任制，调度通报。预警约谈，检查、巡査、督查，应急响应，舆情应对，量化问责等十项工作机制。逐步扩大禁烧区范围，缩小限烧区范围，到2025年，基本消除秸秆焚烧。</w:t>
      </w:r>
    </w:p>
    <w:p>
      <w:pPr>
        <w:spacing w:line="360" w:lineRule="auto"/>
        <w:ind w:firstLine="560" w:firstLineChars="200"/>
        <w:contextualSpacing/>
        <w:rPr>
          <w:rFonts w:ascii="仿宋" w:hAnsi="仿宋" w:eastAsia="仿宋" w:cs="宋体"/>
          <w:sz w:val="28"/>
          <w:szCs w:val="28"/>
        </w:rPr>
      </w:pPr>
      <w:bookmarkStart w:id="53" w:name="_Toc59366152"/>
      <w:r>
        <w:rPr>
          <w:rFonts w:hint="eastAsia" w:ascii="仿宋" w:hAnsi="仿宋" w:eastAsia="仿宋" w:cs="宋体"/>
          <w:sz w:val="28"/>
          <w:szCs w:val="28"/>
        </w:rPr>
        <w:t>4. 加强农业污染管控，减少养殖业氨排放</w:t>
      </w:r>
      <w:bookmarkEnd w:id="53"/>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控制农业源氨排放。减少化肥农药使用量，增加有机肥使用量，实现化肥农药使用量负增长。推广化肥减量增效，以测土配方施肥技术推广为重点，做好科学施肥技术推广工作。测土配方施肥工作紧紧围绕化肥减量增效中心任务，以保证粮食生产安全为核心，提高科学施肥技术入户率、覆盖率，提升耕地质量，促进农业增长方式转变，保证粮食生产安全。一是继续完善施肥指标体系建设，统筹已有的试验数据，进一步丰富完善玉米、水稻等在我市播种面积较大的农作物施肥指标体系；二是以实现化肥零增长为目标，在合理调整种植结构基础上，开展因土壤、因作物、因品种科学施肥技术指导工作；三是以农业新型经营主体为重点，抓好宣传、培训、服务等工作。做好测土配方施肥信息发布公示工作，指导农民开展科学施肥；四是狠抓服务能力建设，层层抓服务、层层抓落实，将提升服务能力作为今后测土配方施肥技术普及率的重要手段，不断提高服务水平和服务意识，把基层技术人员和农民的技术培训作为测土配方施肥工作的重要任务，确实保障测土配方施肥工作的顺利开展。</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提高畜禽粪污利用效率。采取政府扶持、企业主体、市场化运作的方式，支持畜牧业生产大市和养殖集中区，完善与现代畜牧业发展相适应的畜禽粪污集约处理中心。强化政策导向作用，通过招商、兼并、整合、重组等方式，加快培育畜禽养殖废弃物资源化、能源化利用产业化龙头企业，支持建设有机肥、沼气发电和车用燃气项目，促进养殖废弃物综合利用向专业化、产业化和集约化转型。加快建设市级区域性专业化病死畜禽无害化处理中心，健全完善病死畜禽收集暂存体系，配备相应收集、运输、暂存和冷藏设施，以及无害化处理设施设备。有条件的地方探索开展副产品深加工，生产工业油脂、有机肥、无机炭等产品。固体粪便堆肥利用模式。以生猪、肉羊、家禽等规模养殖场为重点，采用干清粪方式，对固体粪便进行好氧堆肥发酵无害化处理，实施就地就近还田利用。</w:t>
      </w:r>
    </w:p>
    <w:p>
      <w:pPr>
        <w:spacing w:line="360" w:lineRule="auto"/>
        <w:ind w:firstLine="560" w:firstLineChars="200"/>
        <w:contextualSpacing/>
        <w:rPr>
          <w:rFonts w:ascii="仿宋" w:hAnsi="仿宋" w:eastAsia="仿宋" w:cs="宋体"/>
          <w:sz w:val="28"/>
          <w:szCs w:val="28"/>
        </w:rPr>
      </w:pPr>
      <w:bookmarkStart w:id="54" w:name="_Toc59366153"/>
      <w:r>
        <w:rPr>
          <w:rFonts w:hint="eastAsia" w:ascii="仿宋" w:hAnsi="仿宋" w:eastAsia="仿宋" w:cs="宋体"/>
          <w:sz w:val="28"/>
          <w:szCs w:val="28"/>
        </w:rPr>
        <w:t>强化餐饮油烟监管，减少餐饮油烟排放</w:t>
      </w:r>
      <w:bookmarkEnd w:id="54"/>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加强城市综合执法，严查露天烧烤，加大餐饮业油烟污染治理力度，严格查处使用焦炭、木材等易产生烟尘污染的炉灶，责令其改用清洁燃料，餐饮服务场所、机关、学校食堂大灶要安装使用高效油烟净化设施，定期维护清洗，适时淘汰老旧油烟净化器。加强公共烟道破损、灶烟囱封闭不严、油烟净化装置效果差等情况的检查，督促进行整改。推广使用高效净化型家用吸油烟机，提高家用油烟净化率。依法取缔非法占用城区道路、车站等公共场所露天烧烤、店外设炉灶、流动经营等餐饮摊点，建立长效监管机制，有效规范临时设摊餐饮经营行为。</w:t>
      </w:r>
    </w:p>
    <w:p>
      <w:pPr>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新建的餐饮企业必须加装集气罩，建设密闭的油烟排放管道，安装经国家认可单位检测合格的高效油烟净化装置，不得擅自闲置或拆除油烟净化装置，定期对油烟净化装置进行维护保养，保证装置正常运行，并保存相关维护保养记录备查。建设餐饮油烟维护中心，各油烟净化装置维护保养记录需实时同步到对应的餐饮油烟维护中心。推进现有净化设备升级改造及楼宇、商场等餐饮废气集中净化处理，对废气净化设备安装设计不合理、清洗维护不到位、废气排放不稳定达标等情况，开展废气净化设备升级改造，由各餐饮油烟维护中心每年开展不少于10%的质控抽检。对未安装油烟净化设施、不正常使用油烟净化设施或者未采取其它油烟净化措施，超过排放标准排放油烟的，依法责令改正，并处以罚款；拒不改正的，责令停业整治。</w:t>
      </w:r>
    </w:p>
    <w:p>
      <w:pPr>
        <w:spacing w:line="360" w:lineRule="auto"/>
        <w:ind w:firstLine="560" w:firstLineChars="200"/>
        <w:contextualSpacing/>
        <w:rPr>
          <w:rFonts w:ascii="仿宋" w:hAnsi="仿宋" w:eastAsia="仿宋" w:cs="宋体"/>
        </w:rPr>
      </w:pPr>
      <w:r>
        <w:rPr>
          <w:rFonts w:hint="eastAsia" w:ascii="仿宋" w:hAnsi="仿宋" w:eastAsia="仿宋" w:cs="宋体"/>
          <w:sz w:val="28"/>
          <w:szCs w:val="28"/>
        </w:rPr>
        <w:t>大力推进餐饮油烟在线监控设施安装，到2023年，完成规模以上（灶头数≥4）餐饮企业、机关、学校食堂大灶等油烟废气在线监控设施安装，并建成一套油烟废气在线监控系统平台，对油烟净化器运行状态及废气排放浓度进行24小时全方位在线监测，提供真实有效的餐饮油烟污染物排放状况，形成全市统一的油烟净化设施可视化，并将油烟监测系统与相关执法部门信息共享。</w:t>
      </w:r>
    </w:p>
    <w:p>
      <w:pPr>
        <w:numPr>
          <w:ilvl w:val="0"/>
          <w:numId w:val="1"/>
        </w:numPr>
        <w:outlineLvl w:val="1"/>
        <w:rPr>
          <w:rFonts w:ascii="仿宋" w:hAnsi="仿宋" w:eastAsia="仿宋" w:cs="宋体"/>
          <w:b/>
          <w:bCs/>
          <w:sz w:val="28"/>
          <w:szCs w:val="28"/>
        </w:rPr>
      </w:pPr>
      <w:bookmarkStart w:id="55" w:name="_Toc65597849"/>
      <w:bookmarkStart w:id="56" w:name="_Toc12240"/>
      <w:r>
        <w:rPr>
          <w:rFonts w:hint="eastAsia" w:ascii="仿宋" w:hAnsi="仿宋" w:eastAsia="仿宋" w:cs="宋体"/>
          <w:b/>
          <w:bCs/>
          <w:sz w:val="28"/>
          <w:szCs w:val="28"/>
        </w:rPr>
        <w:t>控排温室气体，积极应对气候变化</w:t>
      </w:r>
      <w:bookmarkEnd w:id="55"/>
      <w:bookmarkEnd w:id="56"/>
    </w:p>
    <w:p>
      <w:pPr>
        <w:pStyle w:val="5"/>
        <w:ind w:firstLine="562"/>
        <w:rPr>
          <w:rFonts w:ascii="仿宋" w:hAnsi="仿宋" w:cs="宋体"/>
          <w:szCs w:val="28"/>
        </w:rPr>
      </w:pPr>
      <w:r>
        <w:rPr>
          <w:rFonts w:hint="eastAsia" w:ascii="仿宋" w:hAnsi="仿宋" w:cs="宋体"/>
          <w:b/>
          <w:bCs/>
          <w:szCs w:val="28"/>
        </w:rPr>
        <w:t>系统推进改善生态系统和增强减碳能力，</w:t>
      </w:r>
      <w:r>
        <w:rPr>
          <w:rFonts w:hint="eastAsia" w:ascii="仿宋" w:hAnsi="仿宋" w:cs="宋体"/>
          <w:szCs w:val="28"/>
        </w:rPr>
        <w:t>从源头上实现可持续减碳。加强工作协调和政策协同。强化应对气候变化工作队伍和能力建设。推动应对气候变化的相关政策、法规制度和体制机制进一步完善。</w:t>
      </w:r>
    </w:p>
    <w:p>
      <w:pPr>
        <w:pStyle w:val="5"/>
        <w:ind w:firstLine="562"/>
        <w:rPr>
          <w:rFonts w:ascii="仿宋" w:hAnsi="仿宋" w:cs="宋体"/>
          <w:szCs w:val="28"/>
        </w:rPr>
      </w:pPr>
      <w:r>
        <w:rPr>
          <w:rFonts w:hint="eastAsia" w:ascii="仿宋" w:hAnsi="仿宋" w:cs="宋体"/>
          <w:b/>
          <w:bCs/>
          <w:szCs w:val="28"/>
        </w:rPr>
        <w:t>强化目标管理和政策落实。</w:t>
      </w:r>
      <w:r>
        <w:rPr>
          <w:rFonts w:hint="eastAsia" w:ascii="仿宋" w:hAnsi="仿宋" w:cs="宋体"/>
          <w:szCs w:val="28"/>
        </w:rPr>
        <w:t>各行业要根据碳排放达峰目标细化制定适合本行业的减排目标，在重点行业设立碳排放标准。采取强有力的措施，全面优化经济结构和产业结构，控制化石能源消费，大力发展非化石能源，深化能源和价格改革。随着应对气候变化工作的进一步深入，还应强化对甲烷等非二氧化碳温室气体排放的管控，研究制定非二氧化碳类温室气体总量控制方案，分阶段明确非二氧化碳类温室气体减排目标和监管范围。</w:t>
      </w:r>
    </w:p>
    <w:p>
      <w:pPr>
        <w:pStyle w:val="5"/>
        <w:ind w:firstLine="562"/>
        <w:rPr>
          <w:rFonts w:ascii="仿宋" w:hAnsi="仿宋" w:cs="宋体"/>
          <w:szCs w:val="28"/>
        </w:rPr>
      </w:pPr>
      <w:r>
        <w:rPr>
          <w:rFonts w:hint="eastAsia" w:ascii="仿宋" w:hAnsi="仿宋" w:cs="宋体"/>
          <w:b/>
          <w:bCs/>
          <w:szCs w:val="28"/>
        </w:rPr>
        <w:t>推动创新发展和科技支撑。</w:t>
      </w:r>
      <w:r>
        <w:rPr>
          <w:rFonts w:hint="eastAsia" w:ascii="仿宋" w:hAnsi="仿宋" w:cs="宋体"/>
          <w:szCs w:val="28"/>
        </w:rPr>
        <w:t>通过科技创新攻关，突破清洁能源有效储存、电动车续航里程、清洁能源生产成本等方面的技术壁垒。加强对气候变化影响与风险的研究和评估，推动适应气候变化工作。积极支持各类低碳技术的研发和产业化示范推广。</w:t>
      </w:r>
    </w:p>
    <w:p>
      <w:pPr>
        <w:pStyle w:val="5"/>
        <w:ind w:firstLine="562"/>
        <w:rPr>
          <w:rFonts w:ascii="仿宋" w:hAnsi="仿宋" w:cs="宋体"/>
          <w:szCs w:val="28"/>
        </w:rPr>
      </w:pPr>
      <w:r>
        <w:rPr>
          <w:rFonts w:hint="eastAsia" w:ascii="仿宋" w:hAnsi="仿宋" w:cs="宋体"/>
          <w:b/>
          <w:bCs/>
          <w:szCs w:val="28"/>
        </w:rPr>
        <w:t>优化能源结构。</w:t>
      </w:r>
      <w:r>
        <w:rPr>
          <w:rFonts w:hint="eastAsia" w:ascii="仿宋" w:hAnsi="仿宋" w:cs="宋体"/>
          <w:szCs w:val="28"/>
        </w:rPr>
        <w:t>以控制能源消耗总量为基调，以控制煤炭消费总量、推进天然气高效利用、提高非化石能源比例为重点。加快推进太阳能、生物质能、风电等可再生能源产业发展和项目落地；推进清洁供暖及散煤治理，提高能源利用效率，推动农村用能结构转变。</w:t>
      </w:r>
    </w:p>
    <w:p>
      <w:pPr>
        <w:pStyle w:val="5"/>
        <w:ind w:firstLine="562"/>
        <w:rPr>
          <w:rFonts w:ascii="仿宋" w:hAnsi="仿宋" w:cs="宋体"/>
          <w:szCs w:val="28"/>
        </w:rPr>
      </w:pPr>
      <w:r>
        <w:rPr>
          <w:rFonts w:hint="eastAsia" w:ascii="仿宋" w:hAnsi="仿宋" w:cs="宋体"/>
          <w:b/>
          <w:bCs/>
          <w:szCs w:val="28"/>
        </w:rPr>
        <w:t>调整产业结构。</w:t>
      </w:r>
      <w:r>
        <w:rPr>
          <w:rFonts w:hint="eastAsia" w:ascii="仿宋" w:hAnsi="仿宋" w:cs="宋体"/>
          <w:szCs w:val="28"/>
        </w:rPr>
        <w:t>以重大产业项目为支撑，发展绿色低碳产业体系；</w:t>
      </w:r>
    </w:p>
    <w:p>
      <w:pPr>
        <w:pStyle w:val="5"/>
        <w:ind w:firstLine="0" w:firstLineChars="0"/>
        <w:rPr>
          <w:rFonts w:ascii="仿宋" w:hAnsi="仿宋" w:cs="宋体"/>
          <w:szCs w:val="28"/>
        </w:rPr>
      </w:pPr>
      <w:r>
        <w:rPr>
          <w:rFonts w:hint="eastAsia" w:ascii="仿宋" w:hAnsi="仿宋" w:cs="宋体"/>
          <w:szCs w:val="28"/>
        </w:rPr>
        <w:t>有效化解过剩产能，加快构建多业支撑的现代产业体系；以传统产业技术创新为突破口，加快重点行业绿色转型升级，培育发展信息技术产业、高端装备制造产业、汽车电子产业、新材料产业等战略新兴产业，优化现代服务业。</w:t>
      </w:r>
    </w:p>
    <w:p>
      <w:pPr>
        <w:pStyle w:val="5"/>
        <w:ind w:firstLine="562"/>
        <w:rPr>
          <w:rFonts w:ascii="仿宋" w:hAnsi="仿宋" w:cs="宋体"/>
          <w:szCs w:val="28"/>
        </w:rPr>
      </w:pPr>
      <w:r>
        <w:rPr>
          <w:rFonts w:hint="eastAsia" w:ascii="仿宋" w:hAnsi="仿宋" w:cs="宋体"/>
          <w:b/>
          <w:bCs/>
          <w:szCs w:val="28"/>
        </w:rPr>
        <w:t>控制重点领域碳排放。</w:t>
      </w:r>
      <w:r>
        <w:rPr>
          <w:rFonts w:hint="eastAsia" w:ascii="仿宋" w:hAnsi="仿宋" w:cs="宋体"/>
          <w:szCs w:val="28"/>
        </w:rPr>
        <w:t>在工业领域推动和鼓励能效提高和减排技术的应用，优化工艺流程，提高能源利用率；在建筑领域，确保新建建筑达到既定的节能标准，持续推动既有建筑节能化改造；在交通领域，大力推进公共交通运力结构改进和能源消费转变，发展智能交通技术，建设绿色出行基础设施；在农业领域，建立秸秆、畜禽粪便等的能源化和资源化利用，减少化肥农药使用，降低耕地碳排放；在居民生活领域，发展多元化供热方式，鼓励低碳出行、低碳生活方式和绿色能源的使用；在废弃物处理领域，推进农村、城市和工业废弃物的综合利用；在碳汇建设领域，维持和提高森林覆盖率，提高城市森林蓄积量。</w:t>
      </w:r>
    </w:p>
    <w:p>
      <w:pPr>
        <w:widowControl/>
        <w:spacing w:line="360" w:lineRule="auto"/>
        <w:ind w:firstLine="562" w:firstLineChars="200"/>
        <w:contextualSpacing/>
        <w:rPr>
          <w:rFonts w:ascii="仿宋" w:hAnsi="仿宋" w:eastAsia="仿宋" w:cs="宋体"/>
          <w:sz w:val="28"/>
          <w:szCs w:val="28"/>
        </w:rPr>
      </w:pPr>
      <w:r>
        <w:rPr>
          <w:rFonts w:hint="eastAsia" w:ascii="仿宋" w:hAnsi="仿宋" w:eastAsia="仿宋" w:cs="宋体"/>
          <w:b/>
          <w:sz w:val="28"/>
          <w:szCs w:val="28"/>
        </w:rPr>
        <w:t>推进大气污染防治和应对气候变化协同。</w:t>
      </w:r>
      <w:r>
        <w:rPr>
          <w:rFonts w:hint="eastAsia" w:ascii="仿宋" w:hAnsi="仿宋" w:eastAsia="仿宋" w:cs="宋体"/>
          <w:sz w:val="28"/>
          <w:szCs w:val="28"/>
        </w:rPr>
        <w:t>突出抓好重点时段细颗粒物和臭氧协同控制。严格落实新改扩建石化、化工、建材等高排放、高耗能项目环境影响评价和节能审查制度，严格执行水泥等行业产能置换和项目备案办法。降低碳排放强度，制定2030年前碳排放达峰行动方案，推进工业、能源、建筑、交通等重点领域低碳发展，</w:t>
      </w:r>
      <w:r>
        <w:rPr>
          <w:rFonts w:hint="eastAsia" w:ascii="仿宋" w:hAnsi="仿宋" w:eastAsia="仿宋" w:cs="宋体"/>
          <w:kern w:val="0"/>
          <w:sz w:val="28"/>
          <w:szCs w:val="28"/>
        </w:rPr>
        <w:t>加快建设碳排放权交易市场，加强低碳试点示范建设，形成各具特色的低碳发展模式。</w:t>
      </w:r>
      <w:r>
        <w:rPr>
          <w:rFonts w:hint="eastAsia" w:ascii="仿宋" w:hAnsi="仿宋" w:eastAsia="仿宋" w:cs="宋体"/>
          <w:sz w:val="28"/>
          <w:szCs w:val="28"/>
        </w:rPr>
        <w:t>到2025年，细颗粒物浓度持续降低，臭氧浓度升高趋势得到有效遏制，全市单位GDP二氧化碳排放量继续下降 ，应对气候变化能力显著提升。</w:t>
      </w:r>
    </w:p>
    <w:p>
      <w:pPr>
        <w:widowControl/>
        <w:spacing w:line="360" w:lineRule="auto"/>
        <w:ind w:firstLine="562" w:firstLineChars="200"/>
        <w:contextualSpacing/>
        <w:outlineLvl w:val="1"/>
        <w:rPr>
          <w:rFonts w:ascii="仿宋" w:hAnsi="仿宋" w:eastAsia="仿宋" w:cs="宋体"/>
          <w:sz w:val="28"/>
          <w:szCs w:val="28"/>
        </w:rPr>
      </w:pPr>
      <w:bookmarkStart w:id="57" w:name="_Toc57416575"/>
      <w:bookmarkStart w:id="58" w:name="_Toc65597850"/>
      <w:bookmarkStart w:id="59" w:name="_Toc57642046"/>
      <w:bookmarkStart w:id="60" w:name="_Toc11561"/>
      <w:bookmarkStart w:id="61" w:name="_Toc57641780"/>
      <w:bookmarkStart w:id="62" w:name="_Toc59366163"/>
      <w:r>
        <w:rPr>
          <w:rFonts w:hint="eastAsia" w:ascii="仿宋" w:hAnsi="仿宋" w:eastAsia="仿宋" w:cs="宋体"/>
          <w:b/>
          <w:bCs/>
          <w:sz w:val="28"/>
          <w:szCs w:val="28"/>
        </w:rPr>
        <w:t>（五）构建现代化治理体系，提升环境治理能力</w:t>
      </w:r>
      <w:bookmarkEnd w:id="57"/>
      <w:bookmarkEnd w:id="58"/>
      <w:bookmarkEnd w:id="59"/>
      <w:bookmarkEnd w:id="60"/>
      <w:bookmarkEnd w:id="61"/>
      <w:bookmarkEnd w:id="62"/>
      <w:r>
        <w:rPr>
          <w:rFonts w:hint="eastAsia" w:ascii="仿宋" w:hAnsi="仿宋" w:eastAsia="仿宋" w:cs="宋体"/>
          <w:sz w:val="28"/>
          <w:szCs w:val="28"/>
        </w:rPr>
        <w:t xml:space="preserve"> </w:t>
      </w:r>
    </w:p>
    <w:p>
      <w:pPr>
        <w:widowControl/>
        <w:spacing w:line="360" w:lineRule="auto"/>
        <w:ind w:firstLine="560" w:firstLineChars="200"/>
        <w:contextualSpacing/>
        <w:outlineLvl w:val="2"/>
        <w:rPr>
          <w:rFonts w:ascii="仿宋" w:hAnsi="仿宋" w:eastAsia="仿宋" w:cs="宋体"/>
          <w:sz w:val="28"/>
          <w:szCs w:val="28"/>
        </w:rPr>
      </w:pPr>
      <w:bookmarkStart w:id="63" w:name="_Toc59366164"/>
      <w:bookmarkStart w:id="64" w:name="_Toc57642047"/>
      <w:bookmarkStart w:id="65" w:name="_Toc23428"/>
      <w:bookmarkStart w:id="66" w:name="_Toc65597851"/>
      <w:bookmarkStart w:id="67" w:name="_Toc57641781"/>
      <w:r>
        <w:rPr>
          <w:rFonts w:hint="eastAsia" w:ascii="仿宋" w:hAnsi="仿宋" w:eastAsia="仿宋" w:cs="宋体"/>
          <w:sz w:val="28"/>
          <w:szCs w:val="28"/>
        </w:rPr>
        <w:t>1、提升大气环境监测能力</w:t>
      </w:r>
      <w:bookmarkEnd w:id="63"/>
      <w:bookmarkEnd w:id="64"/>
      <w:bookmarkEnd w:id="65"/>
      <w:bookmarkEnd w:id="66"/>
      <w:bookmarkEnd w:id="67"/>
      <w:r>
        <w:rPr>
          <w:rFonts w:hint="eastAsia" w:ascii="仿宋" w:hAnsi="仿宋" w:eastAsia="仿宋" w:cs="宋体"/>
          <w:sz w:val="28"/>
          <w:szCs w:val="28"/>
        </w:rPr>
        <w:t xml:space="preserve"> </w:t>
      </w:r>
    </w:p>
    <w:p>
      <w:pPr>
        <w:widowControl/>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根据复合型大气污染治理需求，构建以自动监测为主的大气环境立体综合监测体系，推动大气环境监测从质量浓度监测向机理成因监测深化，实现重点区域、重点行业、重点因子、重点时段监测全覆盖；增设持久性有机污染物、汞、温室气体等监测点位；开展背景、区域或城市尺度监测。推动城市路边交通空气质量监测站点建设，</w:t>
      </w:r>
      <w:bookmarkStart w:id="68" w:name="_Toc59366165"/>
      <w:bookmarkStart w:id="69" w:name="_Toc57641782"/>
      <w:bookmarkStart w:id="70" w:name="_Toc57642048"/>
    </w:p>
    <w:p>
      <w:pPr>
        <w:widowControl/>
        <w:spacing w:line="360" w:lineRule="auto"/>
        <w:ind w:firstLine="560" w:firstLineChars="200"/>
        <w:contextualSpacing/>
        <w:outlineLvl w:val="2"/>
        <w:rPr>
          <w:rFonts w:ascii="仿宋" w:hAnsi="仿宋" w:eastAsia="仿宋" w:cs="宋体"/>
          <w:sz w:val="28"/>
          <w:szCs w:val="28"/>
        </w:rPr>
      </w:pPr>
      <w:bookmarkStart w:id="71" w:name="_Toc24687"/>
      <w:bookmarkStart w:id="72" w:name="_Toc65597852"/>
      <w:r>
        <w:rPr>
          <w:rFonts w:hint="eastAsia" w:ascii="仿宋" w:hAnsi="仿宋" w:eastAsia="仿宋" w:cs="宋体"/>
          <w:sz w:val="28"/>
          <w:szCs w:val="28"/>
        </w:rPr>
        <w:t>2、加强精细化管理能力</w:t>
      </w:r>
      <w:bookmarkEnd w:id="68"/>
      <w:bookmarkEnd w:id="69"/>
      <w:bookmarkEnd w:id="70"/>
      <w:bookmarkEnd w:id="71"/>
      <w:bookmarkEnd w:id="72"/>
      <w:r>
        <w:rPr>
          <w:rFonts w:hint="eastAsia" w:ascii="仿宋" w:hAnsi="仿宋" w:eastAsia="仿宋" w:cs="宋体"/>
          <w:sz w:val="28"/>
          <w:szCs w:val="28"/>
        </w:rPr>
        <w:t xml:space="preserve"> </w:t>
      </w:r>
    </w:p>
    <w:p>
      <w:pPr>
        <w:widowControl/>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以提高面向区域大气环境精细化管理的科技支撑能力为重要抓手，推进落实大气环境治理能力现代化。动态更新大气污染源排放清单和重污染天气应急减排清单，对重污染天气预防及管控实施精准化管理。推进大气污染物来源解析和排放清单业务化、提升空气质量模拟与预警预报能力、建设大气环境管理与决策支撑平台。</w:t>
      </w:r>
    </w:p>
    <w:p>
      <w:pPr>
        <w:widowControl/>
        <w:spacing w:line="360" w:lineRule="auto"/>
        <w:ind w:firstLine="560" w:firstLineChars="200"/>
        <w:contextualSpacing/>
        <w:outlineLvl w:val="2"/>
        <w:rPr>
          <w:rFonts w:ascii="仿宋" w:hAnsi="仿宋" w:eastAsia="仿宋" w:cs="宋体"/>
          <w:sz w:val="28"/>
          <w:szCs w:val="28"/>
        </w:rPr>
      </w:pPr>
      <w:bookmarkStart w:id="73" w:name="_Toc22573"/>
      <w:bookmarkStart w:id="74" w:name="_Toc65597853"/>
      <w:r>
        <w:rPr>
          <w:rFonts w:hint="eastAsia" w:ascii="仿宋" w:hAnsi="仿宋" w:eastAsia="仿宋" w:cs="宋体"/>
          <w:sz w:val="28"/>
          <w:szCs w:val="28"/>
        </w:rPr>
        <w:t>3、提高污染源监控能力</w:t>
      </w:r>
      <w:bookmarkEnd w:id="73"/>
      <w:bookmarkEnd w:id="74"/>
    </w:p>
    <w:p>
      <w:pPr>
        <w:widowControl/>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改进污染源监控方式、扩大污染源和污染物监控范围、完善监测技术规范。加强卫星遥感、无人机巡查、在线监测、热点网格、大数据、人工智能等科技手段的综合运用。推进污染源监控数据归真，切实发挥监控监管作用。按照国家统一指导、地方建设运维、数据联网共享的模式监测运行，为不同尺度大气污染成因分析、重污染过程诊断、污染防治及政策措施成效评估提供科学支持。</w:t>
      </w:r>
    </w:p>
    <w:p>
      <w:pPr>
        <w:widowControl/>
        <w:spacing w:line="360" w:lineRule="auto"/>
        <w:ind w:firstLine="560" w:firstLineChars="200"/>
        <w:contextualSpacing/>
        <w:outlineLvl w:val="2"/>
        <w:rPr>
          <w:rFonts w:ascii="仿宋" w:hAnsi="仿宋" w:eastAsia="仿宋" w:cs="宋体"/>
          <w:sz w:val="28"/>
          <w:szCs w:val="28"/>
        </w:rPr>
      </w:pPr>
      <w:bookmarkStart w:id="75" w:name="_Toc59366167"/>
      <w:bookmarkStart w:id="76" w:name="_Toc65597854"/>
      <w:bookmarkStart w:id="77" w:name="_Toc31267"/>
      <w:bookmarkStart w:id="78" w:name="_Toc57642050"/>
      <w:bookmarkStart w:id="79" w:name="_Toc57641784"/>
      <w:r>
        <w:rPr>
          <w:rFonts w:hint="eastAsia" w:ascii="仿宋" w:hAnsi="仿宋" w:eastAsia="仿宋" w:cs="宋体"/>
          <w:sz w:val="28"/>
          <w:szCs w:val="28"/>
        </w:rPr>
        <w:t>4、完善执法监管机制</w:t>
      </w:r>
      <w:bookmarkEnd w:id="75"/>
      <w:bookmarkEnd w:id="76"/>
      <w:bookmarkEnd w:id="77"/>
      <w:bookmarkEnd w:id="78"/>
      <w:bookmarkEnd w:id="79"/>
    </w:p>
    <w:p>
      <w:pPr>
        <w:widowControl/>
        <w:spacing w:line="360" w:lineRule="auto"/>
        <w:ind w:firstLine="560" w:firstLineChars="200"/>
        <w:contextualSpacing/>
        <w:rPr>
          <w:rFonts w:ascii="仿宋" w:hAnsi="仿宋" w:eastAsia="仿宋" w:cs="宋体"/>
          <w:sz w:val="28"/>
          <w:szCs w:val="28"/>
        </w:rPr>
      </w:pPr>
      <w:r>
        <w:rPr>
          <w:rFonts w:hint="eastAsia" w:ascii="仿宋" w:hAnsi="仿宋" w:eastAsia="仿宋" w:cs="宋体"/>
          <w:sz w:val="28"/>
          <w:szCs w:val="28"/>
        </w:rPr>
        <w:t>在总结排查、交办、核查、约谈、专项督察“五步法”成效和经验基础上，以精准治污、科学治污、依法治污为准则，制定依法执法、高效执法、精准执法、压实责任等方面的规划任务，加强双随机一公开、规范自由裁量权、推动分类监管、科学配置执法资源、突出重点发力、推进责任落实等方面提出具体要求，推动执法监管机制。加强城市管理和综合执法方面的立法工作，加强立法调研，提高新立法规规章的针对性，完善城市精细化管理的相关制度。</w:t>
      </w:r>
    </w:p>
    <w:p>
      <w:pPr>
        <w:rPr>
          <w:rFonts w:ascii="仿宋" w:hAnsi="仿宋" w:eastAsia="仿宋" w:cs="宋体"/>
        </w:rPr>
      </w:pPr>
      <w:r>
        <w:rPr>
          <w:rFonts w:hint="eastAsia" w:ascii="仿宋" w:hAnsi="仿宋" w:eastAsia="仿宋" w:cs="宋体"/>
        </w:rPr>
        <w:br w:type="page"/>
      </w:r>
    </w:p>
    <w:p>
      <w:pPr>
        <w:pStyle w:val="2"/>
        <w:rPr>
          <w:rFonts w:ascii="仿宋" w:hAnsi="仿宋" w:eastAsia="仿宋"/>
        </w:rPr>
      </w:pPr>
      <w:bookmarkStart w:id="80" w:name="_Toc25245"/>
      <w:bookmarkStart w:id="81" w:name="_Toc57641785"/>
      <w:bookmarkStart w:id="82" w:name="_Toc59366168"/>
      <w:bookmarkStart w:id="83" w:name="_Toc65597855"/>
      <w:bookmarkStart w:id="84" w:name="_Toc57642051"/>
      <w:r>
        <w:rPr>
          <w:rFonts w:hint="eastAsia" w:ascii="仿宋" w:hAnsi="仿宋" w:eastAsia="仿宋"/>
        </w:rPr>
        <w:t>四、重点工程项目</w:t>
      </w:r>
      <w:bookmarkEnd w:id="80"/>
      <w:bookmarkEnd w:id="81"/>
      <w:bookmarkEnd w:id="82"/>
      <w:bookmarkEnd w:id="83"/>
      <w:bookmarkEnd w:id="84"/>
    </w:p>
    <w:p>
      <w:pPr>
        <w:spacing w:line="360" w:lineRule="auto"/>
        <w:ind w:firstLine="560" w:firstLineChars="200"/>
        <w:contextualSpacing/>
        <w:rPr>
          <w:rFonts w:ascii="仿宋" w:hAnsi="仿宋" w:eastAsia="仿宋" w:cs="宋体"/>
          <w:sz w:val="28"/>
          <w:szCs w:val="28"/>
        </w:rPr>
      </w:pPr>
      <w:bookmarkStart w:id="85" w:name="_Toc13009780"/>
      <w:bookmarkStart w:id="86" w:name="_Hlk58158495"/>
      <w:r>
        <w:rPr>
          <w:rFonts w:hint="eastAsia" w:ascii="仿宋" w:hAnsi="仿宋" w:eastAsia="仿宋" w:cs="宋体"/>
          <w:sz w:val="28"/>
          <w:szCs w:val="28"/>
        </w:rPr>
        <w:t>用产业化的模式进行生态恢复和建设，谋划一批重大工程</w:t>
      </w:r>
      <w:bookmarkEnd w:id="85"/>
      <w:r>
        <w:rPr>
          <w:rFonts w:hint="eastAsia" w:ascii="仿宋" w:hAnsi="仿宋" w:eastAsia="仿宋" w:cs="宋体"/>
          <w:sz w:val="28"/>
          <w:szCs w:val="28"/>
        </w:rPr>
        <w:t>类别和领域，强化工程减排措施，建立重大工程项目库及实施的动态管理制度，提升环保重大工程投入保障。</w:t>
      </w:r>
    </w:p>
    <w:p>
      <w:pPr>
        <w:pStyle w:val="5"/>
        <w:ind w:firstLine="560"/>
        <w:rPr>
          <w:rFonts w:ascii="仿宋" w:hAnsi="仿宋" w:cs="宋体"/>
          <w:szCs w:val="28"/>
        </w:rPr>
      </w:pPr>
      <w:r>
        <w:rPr>
          <w:rFonts w:hint="eastAsia" w:ascii="仿宋" w:hAnsi="仿宋" w:cs="宋体"/>
          <w:szCs w:val="28"/>
        </w:rPr>
        <w:t>规划期内德惠市重点工程项目</w:t>
      </w:r>
      <w:bookmarkEnd w:id="86"/>
      <w:r>
        <w:rPr>
          <w:rFonts w:hint="eastAsia" w:ascii="仿宋" w:hAnsi="仿宋" w:cs="宋体"/>
          <w:szCs w:val="28"/>
        </w:rPr>
        <w:t>围绕大气环境质量持续改善，实现规划目标指标，针对“四大结构”调整和重点行业末端治理存在问题，重点实施产业结构调整、能源结构调整、燃煤锅炉深度治理、工业炉窑深度治理、移动源治理、农业结构调整、扬尘精细化管控、餐饮油烟治理、基础能力建设等。</w:t>
      </w:r>
    </w:p>
    <w:p>
      <w:pPr>
        <w:spacing w:line="360" w:lineRule="auto"/>
        <w:ind w:firstLine="560" w:firstLineChars="200"/>
        <w:rPr>
          <w:rFonts w:ascii="仿宋" w:hAnsi="仿宋" w:eastAsia="仿宋" w:cs="宋体"/>
          <w:sz w:val="28"/>
          <w:szCs w:val="28"/>
        </w:rPr>
        <w:sectPr>
          <w:pgSz w:w="11906" w:h="16838"/>
          <w:pgMar w:top="1440" w:right="1800" w:bottom="1440" w:left="1800" w:header="851" w:footer="992" w:gutter="0"/>
          <w:cols w:space="425" w:num="1"/>
          <w:docGrid w:type="lines" w:linePitch="312" w:charSpace="0"/>
        </w:sectPr>
      </w:pPr>
    </w:p>
    <w:p>
      <w:pPr>
        <w:jc w:val="center"/>
        <w:rPr>
          <w:rFonts w:ascii="仿宋" w:hAnsi="仿宋" w:eastAsia="仿宋" w:cs="宋体"/>
          <w:sz w:val="28"/>
          <w:szCs w:val="28"/>
        </w:rPr>
      </w:pPr>
      <w:r>
        <w:rPr>
          <w:rFonts w:hint="eastAsia" w:ascii="仿宋" w:hAnsi="仿宋" w:eastAsia="仿宋" w:cs="宋体"/>
          <w:b/>
          <w:bCs/>
          <w:u w:val="single"/>
        </w:rPr>
        <w:t>表7 德惠市十四五大气污染防治项目库</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696"/>
        <w:gridCol w:w="502"/>
        <w:gridCol w:w="3289"/>
        <w:gridCol w:w="4837"/>
        <w:gridCol w:w="1282"/>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47" w:type="pct"/>
            <w:vAlign w:val="center"/>
          </w:tcPr>
          <w:p>
            <w:pPr>
              <w:jc w:val="center"/>
              <w:rPr>
                <w:rFonts w:ascii="仿宋" w:hAnsi="仿宋" w:eastAsia="仿宋" w:cs="宋体"/>
                <w:szCs w:val="21"/>
              </w:rPr>
            </w:pPr>
            <w:r>
              <w:rPr>
                <w:rFonts w:hint="eastAsia" w:ascii="仿宋" w:hAnsi="仿宋" w:eastAsia="仿宋" w:cs="宋体"/>
                <w:szCs w:val="21"/>
              </w:rPr>
              <w:t>类别大类</w:t>
            </w:r>
          </w:p>
        </w:tc>
        <w:tc>
          <w:tcPr>
            <w:tcW w:w="598" w:type="pct"/>
            <w:vAlign w:val="center"/>
          </w:tcPr>
          <w:p>
            <w:pPr>
              <w:jc w:val="center"/>
              <w:rPr>
                <w:rFonts w:ascii="仿宋" w:hAnsi="仿宋" w:eastAsia="仿宋" w:cs="宋体"/>
                <w:szCs w:val="21"/>
              </w:rPr>
            </w:pPr>
            <w:r>
              <w:rPr>
                <w:rFonts w:hint="eastAsia" w:ascii="仿宋" w:hAnsi="仿宋" w:eastAsia="仿宋" w:cs="宋体"/>
                <w:szCs w:val="21"/>
              </w:rPr>
              <w:t>项目类别</w:t>
            </w:r>
          </w:p>
        </w:tc>
        <w:tc>
          <w:tcPr>
            <w:tcW w:w="177" w:type="pct"/>
            <w:vAlign w:val="center"/>
          </w:tcPr>
          <w:p>
            <w:pPr>
              <w:jc w:val="center"/>
              <w:rPr>
                <w:rFonts w:ascii="仿宋" w:hAnsi="仿宋" w:eastAsia="仿宋" w:cs="宋体"/>
                <w:szCs w:val="21"/>
              </w:rPr>
            </w:pPr>
            <w:r>
              <w:rPr>
                <w:rFonts w:hint="eastAsia" w:ascii="仿宋" w:hAnsi="仿宋" w:eastAsia="仿宋" w:cs="宋体"/>
                <w:szCs w:val="21"/>
              </w:rPr>
              <w:t>序号</w:t>
            </w:r>
          </w:p>
        </w:tc>
        <w:tc>
          <w:tcPr>
            <w:tcW w:w="1160" w:type="pct"/>
            <w:vAlign w:val="center"/>
          </w:tcPr>
          <w:p>
            <w:pPr>
              <w:jc w:val="center"/>
              <w:rPr>
                <w:rFonts w:ascii="仿宋" w:hAnsi="仿宋" w:eastAsia="仿宋" w:cs="宋体"/>
                <w:szCs w:val="21"/>
              </w:rPr>
            </w:pPr>
            <w:r>
              <w:rPr>
                <w:rFonts w:hint="eastAsia" w:ascii="仿宋" w:hAnsi="仿宋" w:eastAsia="仿宋" w:cs="宋体"/>
                <w:szCs w:val="21"/>
              </w:rPr>
              <w:t>项目名称</w:t>
            </w:r>
          </w:p>
        </w:tc>
        <w:tc>
          <w:tcPr>
            <w:tcW w:w="1706" w:type="pct"/>
            <w:vAlign w:val="center"/>
          </w:tcPr>
          <w:p>
            <w:pPr>
              <w:jc w:val="center"/>
              <w:rPr>
                <w:rFonts w:ascii="仿宋" w:hAnsi="仿宋" w:eastAsia="仿宋" w:cs="宋体"/>
                <w:szCs w:val="21"/>
              </w:rPr>
            </w:pPr>
            <w:r>
              <w:rPr>
                <w:rFonts w:hint="eastAsia" w:ascii="仿宋" w:hAnsi="仿宋" w:eastAsia="仿宋" w:cs="宋体"/>
                <w:szCs w:val="21"/>
              </w:rPr>
              <w:t>建设内容及规模</w:t>
            </w:r>
          </w:p>
        </w:tc>
        <w:tc>
          <w:tcPr>
            <w:tcW w:w="452" w:type="pct"/>
            <w:vAlign w:val="center"/>
          </w:tcPr>
          <w:p>
            <w:pPr>
              <w:jc w:val="center"/>
              <w:rPr>
                <w:rFonts w:ascii="仿宋" w:hAnsi="仿宋" w:eastAsia="仿宋" w:cs="宋体"/>
                <w:szCs w:val="21"/>
              </w:rPr>
            </w:pPr>
            <w:r>
              <w:rPr>
                <w:rFonts w:hint="eastAsia" w:ascii="仿宋" w:hAnsi="仿宋" w:eastAsia="仿宋" w:cs="宋体"/>
                <w:szCs w:val="21"/>
              </w:rPr>
              <w:t>建设</w:t>
            </w:r>
          </w:p>
          <w:p>
            <w:pPr>
              <w:jc w:val="center"/>
              <w:rPr>
                <w:rFonts w:ascii="仿宋" w:hAnsi="仿宋" w:eastAsia="仿宋" w:cs="宋体"/>
                <w:szCs w:val="21"/>
              </w:rPr>
            </w:pPr>
            <w:r>
              <w:rPr>
                <w:rFonts w:hint="eastAsia" w:ascii="仿宋" w:hAnsi="仿宋" w:eastAsia="仿宋" w:cs="宋体"/>
                <w:szCs w:val="21"/>
              </w:rPr>
              <w:t>期限</w:t>
            </w:r>
          </w:p>
        </w:tc>
        <w:tc>
          <w:tcPr>
            <w:tcW w:w="657" w:type="pct"/>
            <w:vAlign w:val="center"/>
          </w:tcPr>
          <w:p>
            <w:pPr>
              <w:jc w:val="center"/>
              <w:rPr>
                <w:rFonts w:ascii="仿宋" w:hAnsi="仿宋" w:eastAsia="仿宋" w:cs="宋体"/>
                <w:szCs w:val="21"/>
              </w:rPr>
            </w:pPr>
            <w:r>
              <w:rPr>
                <w:rFonts w:hint="eastAsia" w:ascii="仿宋" w:hAnsi="仿宋" w:eastAsia="仿宋" w:cs="宋体"/>
                <w:szCs w:val="21"/>
              </w:rPr>
              <w:t>牵头</w:t>
            </w:r>
          </w:p>
          <w:p>
            <w:pPr>
              <w:jc w:val="center"/>
              <w:rPr>
                <w:rFonts w:ascii="仿宋" w:hAnsi="仿宋" w:eastAsia="仿宋" w:cs="宋体"/>
                <w:szCs w:val="21"/>
              </w:rPr>
            </w:pPr>
            <w:r>
              <w:rPr>
                <w:rFonts w:hint="eastAsia" w:ascii="仿宋" w:hAnsi="仿宋" w:eastAsia="仿宋" w:cs="宋体"/>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7" w:type="pct"/>
            <w:vMerge w:val="restart"/>
            <w:vAlign w:val="center"/>
          </w:tcPr>
          <w:p>
            <w:pPr>
              <w:jc w:val="center"/>
              <w:rPr>
                <w:rFonts w:ascii="仿宋" w:hAnsi="仿宋" w:eastAsia="仿宋" w:cs="宋体"/>
                <w:szCs w:val="21"/>
              </w:rPr>
            </w:pPr>
            <w:r>
              <w:rPr>
                <w:rFonts w:hint="eastAsia" w:ascii="仿宋" w:hAnsi="仿宋" w:eastAsia="仿宋" w:cs="宋体"/>
                <w:szCs w:val="21"/>
              </w:rPr>
              <w:t>能源结构调整</w:t>
            </w:r>
          </w:p>
        </w:tc>
        <w:tc>
          <w:tcPr>
            <w:tcW w:w="598" w:type="pct"/>
            <w:vAlign w:val="center"/>
          </w:tcPr>
          <w:p>
            <w:pPr>
              <w:jc w:val="center"/>
              <w:rPr>
                <w:rFonts w:ascii="仿宋" w:hAnsi="仿宋" w:eastAsia="仿宋" w:cs="宋体"/>
                <w:szCs w:val="21"/>
              </w:rPr>
            </w:pPr>
            <w:r>
              <w:rPr>
                <w:rFonts w:hint="eastAsia" w:ascii="仿宋" w:hAnsi="仿宋" w:eastAsia="仿宋" w:cs="宋体"/>
                <w:szCs w:val="21"/>
              </w:rPr>
              <w:t>燃煤锅炉深度治理项目</w:t>
            </w:r>
          </w:p>
        </w:tc>
        <w:tc>
          <w:tcPr>
            <w:tcW w:w="177" w:type="pct"/>
            <w:vAlign w:val="center"/>
          </w:tcPr>
          <w:p>
            <w:pPr>
              <w:widowControl/>
              <w:jc w:val="right"/>
              <w:textAlignment w:val="center"/>
              <w:rPr>
                <w:rFonts w:ascii="仿宋" w:hAnsi="仿宋" w:eastAsia="仿宋" w:cs="宋体"/>
                <w:szCs w:val="21"/>
              </w:rPr>
            </w:pPr>
            <w:r>
              <w:rPr>
                <w:rFonts w:hint="eastAsia" w:ascii="仿宋" w:hAnsi="仿宋" w:eastAsia="仿宋" w:cs="宋体"/>
                <w:kern w:val="0"/>
                <w:sz w:val="22"/>
                <w:szCs w:val="22"/>
              </w:rPr>
              <w:t>1</w:t>
            </w:r>
          </w:p>
        </w:tc>
        <w:tc>
          <w:tcPr>
            <w:tcW w:w="1160" w:type="pct"/>
            <w:vAlign w:val="center"/>
          </w:tcPr>
          <w:p>
            <w:pPr>
              <w:jc w:val="center"/>
              <w:rPr>
                <w:rFonts w:ascii="仿宋" w:hAnsi="仿宋" w:eastAsia="仿宋" w:cs="宋体"/>
                <w:szCs w:val="21"/>
                <w:highlight w:val="yellow"/>
              </w:rPr>
            </w:pPr>
            <w:r>
              <w:rPr>
                <w:rFonts w:hint="eastAsia" w:ascii="仿宋" w:hAnsi="仿宋" w:eastAsia="仿宋" w:cs="宋体"/>
                <w:szCs w:val="21"/>
              </w:rPr>
              <w:t>燃煤锅炉淘汰项目</w:t>
            </w:r>
          </w:p>
        </w:tc>
        <w:tc>
          <w:tcPr>
            <w:tcW w:w="1706" w:type="pct"/>
            <w:vAlign w:val="center"/>
          </w:tcPr>
          <w:p>
            <w:pPr>
              <w:jc w:val="center"/>
              <w:rPr>
                <w:rFonts w:ascii="仿宋" w:hAnsi="仿宋" w:eastAsia="仿宋" w:cs="宋体"/>
                <w:szCs w:val="21"/>
                <w:highlight w:val="yellow"/>
              </w:rPr>
            </w:pPr>
            <w:r>
              <w:rPr>
                <w:rFonts w:hint="eastAsia" w:ascii="仿宋" w:hAnsi="仿宋" w:eastAsia="仿宋" w:cs="宋体"/>
                <w:szCs w:val="21"/>
              </w:rPr>
              <w:t>完成市域35蒸吨以下燃煤锅炉</w:t>
            </w:r>
          </w:p>
        </w:tc>
        <w:tc>
          <w:tcPr>
            <w:tcW w:w="452" w:type="pct"/>
            <w:vAlign w:val="center"/>
          </w:tcPr>
          <w:p>
            <w:pPr>
              <w:jc w:val="center"/>
              <w:rPr>
                <w:rFonts w:ascii="仿宋" w:hAnsi="仿宋" w:eastAsia="仿宋" w:cs="宋体"/>
                <w:szCs w:val="21"/>
                <w:highlight w:val="yellow"/>
              </w:rPr>
            </w:pPr>
            <w:r>
              <w:rPr>
                <w:rFonts w:hint="eastAsia" w:ascii="仿宋" w:hAnsi="仿宋" w:eastAsia="仿宋" w:cs="宋体"/>
                <w:szCs w:val="21"/>
              </w:rPr>
              <w:t>2021-2025</w:t>
            </w:r>
          </w:p>
        </w:tc>
        <w:tc>
          <w:tcPr>
            <w:tcW w:w="657" w:type="pct"/>
            <w:noWrap/>
            <w:vAlign w:val="center"/>
          </w:tcPr>
          <w:p>
            <w:pPr>
              <w:jc w:val="center"/>
              <w:rPr>
                <w:rFonts w:ascii="仿宋" w:hAnsi="仿宋" w:eastAsia="仿宋" w:cs="宋体"/>
                <w:szCs w:val="21"/>
                <w:highlight w:val="yellow"/>
              </w:rPr>
            </w:pPr>
            <w:r>
              <w:rPr>
                <w:rFonts w:hint="eastAsia" w:ascii="仿宋" w:hAnsi="仿宋" w:eastAsia="仿宋" w:cs="宋体"/>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47" w:type="pct"/>
            <w:vMerge w:val="continue"/>
            <w:vAlign w:val="center"/>
          </w:tcPr>
          <w:p>
            <w:pPr>
              <w:jc w:val="center"/>
              <w:rPr>
                <w:rFonts w:ascii="仿宋" w:hAnsi="仿宋" w:eastAsia="仿宋" w:cs="宋体"/>
                <w:szCs w:val="21"/>
              </w:rPr>
            </w:pPr>
          </w:p>
        </w:tc>
        <w:tc>
          <w:tcPr>
            <w:tcW w:w="598" w:type="pct"/>
            <w:vMerge w:val="restart"/>
            <w:vAlign w:val="center"/>
          </w:tcPr>
          <w:p>
            <w:pPr>
              <w:jc w:val="center"/>
              <w:rPr>
                <w:rFonts w:ascii="仿宋" w:hAnsi="仿宋" w:eastAsia="仿宋" w:cs="宋体"/>
                <w:szCs w:val="21"/>
              </w:rPr>
            </w:pPr>
            <w:r>
              <w:rPr>
                <w:rFonts w:hint="eastAsia" w:ascii="仿宋" w:hAnsi="仿宋" w:eastAsia="仿宋" w:cs="宋体"/>
                <w:szCs w:val="21"/>
              </w:rPr>
              <w:t>清洁取暖项目</w:t>
            </w:r>
          </w:p>
        </w:tc>
        <w:tc>
          <w:tcPr>
            <w:tcW w:w="177" w:type="pct"/>
            <w:vAlign w:val="center"/>
          </w:tcPr>
          <w:p>
            <w:pPr>
              <w:widowControl/>
              <w:jc w:val="right"/>
              <w:textAlignment w:val="center"/>
              <w:rPr>
                <w:rFonts w:ascii="仿宋" w:hAnsi="仿宋" w:eastAsia="仿宋" w:cs="宋体"/>
                <w:szCs w:val="21"/>
              </w:rPr>
            </w:pPr>
            <w:r>
              <w:rPr>
                <w:rFonts w:hint="eastAsia" w:ascii="仿宋" w:hAnsi="仿宋" w:eastAsia="仿宋" w:cs="宋体"/>
                <w:kern w:val="0"/>
                <w:sz w:val="22"/>
                <w:szCs w:val="22"/>
              </w:rPr>
              <w:t>2</w:t>
            </w:r>
          </w:p>
        </w:tc>
        <w:tc>
          <w:tcPr>
            <w:tcW w:w="1160" w:type="pct"/>
            <w:vAlign w:val="center"/>
          </w:tcPr>
          <w:p>
            <w:pPr>
              <w:jc w:val="center"/>
              <w:rPr>
                <w:rFonts w:ascii="仿宋" w:hAnsi="仿宋" w:eastAsia="仿宋" w:cs="宋体"/>
                <w:szCs w:val="21"/>
              </w:rPr>
            </w:pPr>
            <w:r>
              <w:rPr>
                <w:rFonts w:hint="eastAsia" w:ascii="仿宋" w:hAnsi="仿宋" w:eastAsia="仿宋" w:cs="宋体"/>
                <w:szCs w:val="21"/>
              </w:rPr>
              <w:t>非城区散煤治理项目</w:t>
            </w:r>
          </w:p>
        </w:tc>
        <w:tc>
          <w:tcPr>
            <w:tcW w:w="1706" w:type="pct"/>
            <w:vAlign w:val="center"/>
          </w:tcPr>
          <w:p>
            <w:pPr>
              <w:jc w:val="center"/>
              <w:rPr>
                <w:rFonts w:ascii="仿宋" w:hAnsi="仿宋" w:eastAsia="仿宋" w:cs="宋体"/>
                <w:szCs w:val="21"/>
              </w:rPr>
            </w:pPr>
            <w:r>
              <w:rPr>
                <w:rFonts w:hint="eastAsia" w:ascii="仿宋" w:hAnsi="仿宋" w:eastAsia="仿宋" w:cs="宋体"/>
                <w:szCs w:val="21"/>
              </w:rPr>
              <w:t>“洁净型煤+环保炉具”、“生物质成型燃料+专用炉具</w:t>
            </w:r>
          </w:p>
        </w:tc>
        <w:tc>
          <w:tcPr>
            <w:tcW w:w="452" w:type="pct"/>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noWrap/>
            <w:vAlign w:val="center"/>
          </w:tcPr>
          <w:p>
            <w:pPr>
              <w:jc w:val="center"/>
              <w:rPr>
                <w:rFonts w:ascii="仿宋" w:hAnsi="仿宋" w:eastAsia="仿宋" w:cs="宋体"/>
                <w:szCs w:val="21"/>
              </w:rPr>
            </w:pPr>
            <w:r>
              <w:rPr>
                <w:rFonts w:hint="eastAsia" w:ascii="仿宋" w:hAnsi="仿宋" w:eastAsia="仿宋" w:cs="宋体"/>
                <w:szCs w:val="21"/>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47" w:type="pct"/>
            <w:vMerge w:val="continue"/>
            <w:vAlign w:val="center"/>
          </w:tcPr>
          <w:p>
            <w:pPr>
              <w:jc w:val="center"/>
              <w:rPr>
                <w:rFonts w:ascii="仿宋" w:hAnsi="仿宋" w:eastAsia="仿宋" w:cs="宋体"/>
                <w:szCs w:val="21"/>
              </w:rPr>
            </w:pPr>
          </w:p>
        </w:tc>
        <w:tc>
          <w:tcPr>
            <w:tcW w:w="598" w:type="pct"/>
            <w:vMerge w:val="continue"/>
            <w:vAlign w:val="center"/>
          </w:tcPr>
          <w:p>
            <w:pPr>
              <w:jc w:val="center"/>
              <w:rPr>
                <w:rFonts w:ascii="仿宋" w:hAnsi="仿宋" w:eastAsia="仿宋" w:cs="宋体"/>
                <w:szCs w:val="21"/>
              </w:rPr>
            </w:pPr>
          </w:p>
        </w:tc>
        <w:tc>
          <w:tcPr>
            <w:tcW w:w="177" w:type="pct"/>
            <w:vAlign w:val="center"/>
          </w:tcPr>
          <w:p>
            <w:pPr>
              <w:widowControl/>
              <w:jc w:val="right"/>
              <w:textAlignment w:val="center"/>
              <w:rPr>
                <w:rFonts w:ascii="仿宋" w:hAnsi="仿宋" w:eastAsia="仿宋" w:cs="宋体"/>
                <w:kern w:val="0"/>
                <w:sz w:val="22"/>
                <w:szCs w:val="22"/>
              </w:rPr>
            </w:pPr>
            <w:r>
              <w:rPr>
                <w:rFonts w:hint="eastAsia" w:ascii="仿宋" w:hAnsi="仿宋" w:eastAsia="仿宋" w:cs="宋体"/>
                <w:kern w:val="0"/>
                <w:sz w:val="22"/>
                <w:szCs w:val="22"/>
              </w:rPr>
              <w:t>3</w:t>
            </w:r>
          </w:p>
        </w:tc>
        <w:tc>
          <w:tcPr>
            <w:tcW w:w="1160" w:type="pct"/>
            <w:vAlign w:val="center"/>
          </w:tcPr>
          <w:p>
            <w:pPr>
              <w:jc w:val="center"/>
              <w:rPr>
                <w:rFonts w:ascii="仿宋" w:hAnsi="仿宋" w:eastAsia="仿宋" w:cs="宋体"/>
                <w:szCs w:val="21"/>
              </w:rPr>
            </w:pPr>
            <w:r>
              <w:rPr>
                <w:rFonts w:hint="eastAsia" w:ascii="仿宋" w:hAnsi="仿宋" w:eastAsia="仿宋" w:cs="宋体"/>
                <w:szCs w:val="21"/>
                <w:lang w:val="zh-CN"/>
              </w:rPr>
              <w:t>哈电集团生物质热电联产项目</w:t>
            </w:r>
          </w:p>
        </w:tc>
        <w:tc>
          <w:tcPr>
            <w:tcW w:w="1706" w:type="pct"/>
            <w:vAlign w:val="center"/>
          </w:tcPr>
          <w:p>
            <w:pPr>
              <w:jc w:val="center"/>
              <w:rPr>
                <w:rFonts w:ascii="仿宋" w:hAnsi="仿宋" w:eastAsia="仿宋" w:cs="宋体"/>
                <w:szCs w:val="21"/>
              </w:rPr>
            </w:pPr>
          </w:p>
        </w:tc>
        <w:tc>
          <w:tcPr>
            <w:tcW w:w="452" w:type="pct"/>
            <w:vAlign w:val="center"/>
          </w:tcPr>
          <w:p>
            <w:pPr>
              <w:jc w:val="center"/>
              <w:rPr>
                <w:rFonts w:ascii="仿宋" w:hAnsi="仿宋" w:eastAsia="仿宋" w:cs="宋体"/>
                <w:szCs w:val="21"/>
              </w:rPr>
            </w:pPr>
          </w:p>
        </w:tc>
        <w:tc>
          <w:tcPr>
            <w:tcW w:w="657" w:type="pct"/>
            <w:noWrap/>
            <w:vAlign w:val="center"/>
          </w:tcPr>
          <w:p>
            <w:pPr>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7" w:type="pct"/>
            <w:vMerge w:val="continue"/>
            <w:vAlign w:val="center"/>
          </w:tcPr>
          <w:p>
            <w:pPr>
              <w:jc w:val="center"/>
              <w:rPr>
                <w:rFonts w:ascii="仿宋" w:hAnsi="仿宋" w:eastAsia="仿宋" w:cs="宋体"/>
                <w:szCs w:val="21"/>
              </w:rPr>
            </w:pPr>
          </w:p>
        </w:tc>
        <w:tc>
          <w:tcPr>
            <w:tcW w:w="598" w:type="pct"/>
            <w:vMerge w:val="restart"/>
            <w:vAlign w:val="center"/>
          </w:tcPr>
          <w:p>
            <w:pPr>
              <w:jc w:val="center"/>
              <w:rPr>
                <w:rFonts w:ascii="仿宋" w:hAnsi="仿宋" w:eastAsia="仿宋" w:cs="宋体"/>
                <w:szCs w:val="21"/>
              </w:rPr>
            </w:pPr>
            <w:r>
              <w:rPr>
                <w:rFonts w:hint="eastAsia" w:ascii="仿宋" w:hAnsi="仿宋" w:eastAsia="仿宋" w:cs="宋体"/>
                <w:szCs w:val="21"/>
              </w:rPr>
              <w:t>工业炉窑深度治理项目</w:t>
            </w:r>
          </w:p>
        </w:tc>
        <w:tc>
          <w:tcPr>
            <w:tcW w:w="177" w:type="pct"/>
            <w:vAlign w:val="center"/>
          </w:tcPr>
          <w:p>
            <w:pPr>
              <w:widowControl/>
              <w:jc w:val="right"/>
              <w:textAlignment w:val="center"/>
              <w:rPr>
                <w:rFonts w:ascii="仿宋" w:hAnsi="仿宋" w:eastAsia="仿宋" w:cs="宋体"/>
                <w:szCs w:val="21"/>
              </w:rPr>
            </w:pPr>
            <w:r>
              <w:rPr>
                <w:rFonts w:hint="eastAsia" w:ascii="仿宋" w:hAnsi="仿宋" w:eastAsia="仿宋" w:cs="宋体"/>
                <w:kern w:val="0"/>
                <w:sz w:val="22"/>
                <w:szCs w:val="22"/>
              </w:rPr>
              <w:t>4</w:t>
            </w:r>
          </w:p>
        </w:tc>
        <w:tc>
          <w:tcPr>
            <w:tcW w:w="1160" w:type="pct"/>
            <w:vAlign w:val="center"/>
          </w:tcPr>
          <w:p>
            <w:pPr>
              <w:jc w:val="center"/>
              <w:rPr>
                <w:rFonts w:ascii="仿宋" w:hAnsi="仿宋" w:eastAsia="仿宋" w:cs="宋体"/>
                <w:szCs w:val="21"/>
              </w:rPr>
            </w:pPr>
            <w:r>
              <w:rPr>
                <w:rFonts w:hint="eastAsia" w:ascii="仿宋" w:hAnsi="仿宋" w:eastAsia="仿宋" w:cs="宋体"/>
                <w:szCs w:val="21"/>
              </w:rPr>
              <w:t>工业炉窑落后产能淘汰项目</w:t>
            </w:r>
          </w:p>
        </w:tc>
        <w:tc>
          <w:tcPr>
            <w:tcW w:w="1706" w:type="pct"/>
            <w:vAlign w:val="center"/>
          </w:tcPr>
          <w:p>
            <w:pPr>
              <w:jc w:val="center"/>
              <w:rPr>
                <w:rFonts w:ascii="仿宋" w:hAnsi="仿宋" w:eastAsia="仿宋" w:cs="宋体"/>
                <w:szCs w:val="21"/>
              </w:rPr>
            </w:pPr>
            <w:r>
              <w:rPr>
                <w:rFonts w:hint="eastAsia" w:ascii="仿宋" w:hAnsi="仿宋" w:eastAsia="仿宋" w:cs="宋体"/>
                <w:szCs w:val="21"/>
              </w:rPr>
              <w:t>落后工业炉窑淘汰项目</w:t>
            </w:r>
          </w:p>
        </w:tc>
        <w:tc>
          <w:tcPr>
            <w:tcW w:w="452" w:type="pct"/>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noWrap/>
            <w:vAlign w:val="center"/>
          </w:tcPr>
          <w:p>
            <w:pPr>
              <w:jc w:val="center"/>
              <w:rPr>
                <w:rFonts w:ascii="仿宋" w:hAnsi="仿宋" w:eastAsia="仿宋" w:cs="宋体"/>
                <w:szCs w:val="21"/>
              </w:rPr>
            </w:pPr>
            <w:r>
              <w:rPr>
                <w:rFonts w:hint="eastAsia" w:ascii="仿宋" w:hAnsi="仿宋" w:eastAsia="仿宋" w:cs="宋体"/>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7" w:type="pct"/>
            <w:vMerge w:val="continue"/>
            <w:vAlign w:val="center"/>
          </w:tcPr>
          <w:p>
            <w:pPr>
              <w:jc w:val="center"/>
              <w:rPr>
                <w:rFonts w:ascii="仿宋" w:hAnsi="仿宋" w:eastAsia="仿宋" w:cs="宋体"/>
                <w:szCs w:val="21"/>
              </w:rPr>
            </w:pPr>
          </w:p>
        </w:tc>
        <w:tc>
          <w:tcPr>
            <w:tcW w:w="598" w:type="pct"/>
            <w:vMerge w:val="continue"/>
            <w:vAlign w:val="center"/>
          </w:tcPr>
          <w:p>
            <w:pPr>
              <w:jc w:val="center"/>
              <w:rPr>
                <w:rFonts w:ascii="仿宋" w:hAnsi="仿宋" w:eastAsia="仿宋" w:cs="宋体"/>
                <w:szCs w:val="21"/>
              </w:rPr>
            </w:pPr>
          </w:p>
        </w:tc>
        <w:tc>
          <w:tcPr>
            <w:tcW w:w="177" w:type="pct"/>
            <w:vAlign w:val="center"/>
          </w:tcPr>
          <w:p>
            <w:pPr>
              <w:widowControl/>
              <w:jc w:val="right"/>
              <w:textAlignment w:val="center"/>
              <w:rPr>
                <w:rFonts w:ascii="仿宋" w:hAnsi="仿宋" w:eastAsia="仿宋" w:cs="宋体"/>
                <w:szCs w:val="21"/>
              </w:rPr>
            </w:pPr>
            <w:r>
              <w:rPr>
                <w:rFonts w:hint="eastAsia" w:ascii="仿宋" w:hAnsi="仿宋" w:eastAsia="仿宋" w:cs="宋体"/>
                <w:kern w:val="0"/>
                <w:sz w:val="22"/>
                <w:szCs w:val="22"/>
              </w:rPr>
              <w:t>5</w:t>
            </w:r>
          </w:p>
        </w:tc>
        <w:tc>
          <w:tcPr>
            <w:tcW w:w="1160" w:type="pct"/>
            <w:vAlign w:val="center"/>
          </w:tcPr>
          <w:p>
            <w:pPr>
              <w:jc w:val="center"/>
              <w:rPr>
                <w:rFonts w:ascii="仿宋" w:hAnsi="仿宋" w:eastAsia="仿宋" w:cs="宋体"/>
                <w:szCs w:val="21"/>
              </w:rPr>
            </w:pPr>
            <w:r>
              <w:rPr>
                <w:rFonts w:hint="eastAsia" w:ascii="仿宋" w:hAnsi="仿宋" w:eastAsia="仿宋" w:cs="宋体"/>
                <w:szCs w:val="21"/>
              </w:rPr>
              <w:t>工业炉窑升级改造项目</w:t>
            </w:r>
          </w:p>
        </w:tc>
        <w:tc>
          <w:tcPr>
            <w:tcW w:w="1706" w:type="pct"/>
            <w:vAlign w:val="center"/>
          </w:tcPr>
          <w:p>
            <w:pPr>
              <w:jc w:val="center"/>
              <w:rPr>
                <w:rFonts w:ascii="仿宋" w:hAnsi="仿宋" w:eastAsia="仿宋" w:cs="宋体"/>
                <w:szCs w:val="21"/>
              </w:rPr>
            </w:pPr>
            <w:r>
              <w:rPr>
                <w:rFonts w:hint="eastAsia" w:ascii="仿宋" w:hAnsi="仿宋" w:eastAsia="仿宋" w:cs="宋体"/>
                <w:szCs w:val="21"/>
              </w:rPr>
              <w:t>燃煤热风炉、冲天炉等工业窑炉升级改造项目</w:t>
            </w:r>
          </w:p>
        </w:tc>
        <w:tc>
          <w:tcPr>
            <w:tcW w:w="452" w:type="pct"/>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noWrap/>
            <w:vAlign w:val="center"/>
          </w:tcPr>
          <w:p>
            <w:pPr>
              <w:jc w:val="center"/>
              <w:rPr>
                <w:rFonts w:ascii="仿宋" w:hAnsi="仿宋" w:eastAsia="仿宋" w:cs="宋体"/>
                <w:szCs w:val="21"/>
              </w:rPr>
            </w:pPr>
            <w:r>
              <w:rPr>
                <w:rFonts w:hint="eastAsia" w:ascii="仿宋" w:hAnsi="仿宋" w:eastAsia="仿宋" w:cs="宋体"/>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7" w:type="pct"/>
            <w:vMerge w:val="continue"/>
            <w:vAlign w:val="center"/>
          </w:tcPr>
          <w:p>
            <w:pPr>
              <w:jc w:val="center"/>
              <w:rPr>
                <w:rFonts w:ascii="仿宋" w:hAnsi="仿宋" w:eastAsia="仿宋" w:cs="宋体"/>
                <w:szCs w:val="21"/>
              </w:rPr>
            </w:pPr>
          </w:p>
        </w:tc>
        <w:tc>
          <w:tcPr>
            <w:tcW w:w="598" w:type="pct"/>
            <w:vMerge w:val="continue"/>
            <w:vAlign w:val="center"/>
          </w:tcPr>
          <w:p>
            <w:pPr>
              <w:jc w:val="center"/>
              <w:rPr>
                <w:rFonts w:ascii="仿宋" w:hAnsi="仿宋" w:eastAsia="仿宋" w:cs="宋体"/>
                <w:szCs w:val="21"/>
              </w:rPr>
            </w:pPr>
          </w:p>
        </w:tc>
        <w:tc>
          <w:tcPr>
            <w:tcW w:w="177" w:type="pct"/>
            <w:vAlign w:val="center"/>
          </w:tcPr>
          <w:p>
            <w:pPr>
              <w:widowControl/>
              <w:jc w:val="right"/>
              <w:textAlignment w:val="center"/>
              <w:rPr>
                <w:rFonts w:ascii="仿宋" w:hAnsi="仿宋" w:eastAsia="仿宋" w:cs="宋体"/>
                <w:szCs w:val="21"/>
              </w:rPr>
            </w:pPr>
            <w:r>
              <w:rPr>
                <w:rFonts w:hint="eastAsia" w:ascii="仿宋" w:hAnsi="仿宋" w:eastAsia="仿宋" w:cs="宋体"/>
                <w:kern w:val="0"/>
                <w:sz w:val="22"/>
                <w:szCs w:val="22"/>
              </w:rPr>
              <w:t>6</w:t>
            </w:r>
          </w:p>
        </w:tc>
        <w:tc>
          <w:tcPr>
            <w:tcW w:w="1160" w:type="pct"/>
            <w:vAlign w:val="center"/>
          </w:tcPr>
          <w:p>
            <w:pPr>
              <w:jc w:val="center"/>
              <w:rPr>
                <w:rFonts w:ascii="仿宋" w:hAnsi="仿宋" w:eastAsia="仿宋" w:cs="宋体"/>
                <w:szCs w:val="21"/>
              </w:rPr>
            </w:pPr>
            <w:r>
              <w:rPr>
                <w:rFonts w:hint="eastAsia" w:ascii="仿宋" w:hAnsi="仿宋" w:eastAsia="仿宋" w:cs="宋体"/>
                <w:szCs w:val="21"/>
              </w:rPr>
              <w:t>工业炉窑清洁能源替代项目</w:t>
            </w:r>
          </w:p>
        </w:tc>
        <w:tc>
          <w:tcPr>
            <w:tcW w:w="1706" w:type="pct"/>
            <w:vAlign w:val="center"/>
          </w:tcPr>
          <w:p>
            <w:pPr>
              <w:jc w:val="center"/>
              <w:rPr>
                <w:rFonts w:ascii="仿宋" w:hAnsi="仿宋" w:eastAsia="仿宋" w:cs="宋体"/>
                <w:szCs w:val="21"/>
              </w:rPr>
            </w:pPr>
            <w:r>
              <w:rPr>
                <w:rFonts w:hint="eastAsia" w:ascii="仿宋" w:hAnsi="仿宋" w:eastAsia="仿宋" w:cs="宋体"/>
                <w:szCs w:val="21"/>
              </w:rPr>
              <w:t>工业窑炉推进使用电、天然气进行替代项目</w:t>
            </w:r>
          </w:p>
        </w:tc>
        <w:tc>
          <w:tcPr>
            <w:tcW w:w="452" w:type="pct"/>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noWrap/>
            <w:vAlign w:val="center"/>
          </w:tcPr>
          <w:p>
            <w:pPr>
              <w:jc w:val="center"/>
              <w:rPr>
                <w:rFonts w:ascii="仿宋" w:hAnsi="仿宋" w:eastAsia="仿宋" w:cs="宋体"/>
                <w:szCs w:val="21"/>
              </w:rPr>
            </w:pPr>
            <w:r>
              <w:rPr>
                <w:rFonts w:hint="eastAsia" w:ascii="仿宋" w:hAnsi="仿宋" w:eastAsia="仿宋" w:cs="宋体"/>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47" w:type="pct"/>
            <w:vMerge w:val="restart"/>
            <w:vAlign w:val="center"/>
          </w:tcPr>
          <w:p>
            <w:pPr>
              <w:jc w:val="center"/>
              <w:rPr>
                <w:rFonts w:ascii="仿宋" w:hAnsi="仿宋" w:eastAsia="仿宋" w:cs="宋体"/>
                <w:szCs w:val="21"/>
              </w:rPr>
            </w:pPr>
          </w:p>
          <w:p>
            <w:pPr>
              <w:jc w:val="center"/>
              <w:rPr>
                <w:rFonts w:ascii="仿宋" w:hAnsi="仿宋" w:eastAsia="仿宋" w:cs="宋体"/>
                <w:szCs w:val="21"/>
              </w:rPr>
            </w:pPr>
          </w:p>
          <w:p>
            <w:pPr>
              <w:jc w:val="center"/>
              <w:rPr>
                <w:rFonts w:ascii="仿宋" w:hAnsi="仿宋" w:eastAsia="仿宋" w:cs="宋体"/>
                <w:szCs w:val="21"/>
              </w:rPr>
            </w:pPr>
          </w:p>
          <w:p>
            <w:pPr>
              <w:jc w:val="center"/>
              <w:rPr>
                <w:rFonts w:ascii="仿宋" w:hAnsi="仿宋" w:eastAsia="仿宋" w:cs="宋体"/>
                <w:szCs w:val="21"/>
              </w:rPr>
            </w:pPr>
            <w:r>
              <w:rPr>
                <w:rFonts w:hint="eastAsia" w:ascii="仿宋" w:hAnsi="仿宋" w:eastAsia="仿宋" w:cs="宋体"/>
                <w:szCs w:val="21"/>
              </w:rPr>
              <w:t>产业结构调整</w:t>
            </w:r>
          </w:p>
        </w:tc>
        <w:tc>
          <w:tcPr>
            <w:tcW w:w="598" w:type="pct"/>
            <w:vMerge w:val="restart"/>
            <w:vAlign w:val="center"/>
          </w:tcPr>
          <w:p>
            <w:pPr>
              <w:jc w:val="center"/>
              <w:rPr>
                <w:rFonts w:ascii="仿宋" w:hAnsi="仿宋" w:eastAsia="仿宋" w:cs="宋体"/>
                <w:szCs w:val="21"/>
              </w:rPr>
            </w:pPr>
            <w:r>
              <w:rPr>
                <w:rFonts w:hint="eastAsia" w:ascii="仿宋" w:hAnsi="仿宋" w:eastAsia="仿宋" w:cs="宋体"/>
                <w:szCs w:val="21"/>
              </w:rPr>
              <w:t>产业集群和园区升级改造项目</w:t>
            </w:r>
          </w:p>
        </w:tc>
        <w:tc>
          <w:tcPr>
            <w:tcW w:w="177" w:type="pct"/>
            <w:vAlign w:val="center"/>
          </w:tcPr>
          <w:p>
            <w:pPr>
              <w:widowControl/>
              <w:jc w:val="right"/>
              <w:textAlignment w:val="center"/>
              <w:rPr>
                <w:rFonts w:ascii="仿宋" w:hAnsi="仿宋" w:eastAsia="仿宋" w:cs="宋体"/>
                <w:szCs w:val="21"/>
              </w:rPr>
            </w:pPr>
            <w:r>
              <w:rPr>
                <w:rFonts w:hint="eastAsia" w:ascii="仿宋" w:hAnsi="仿宋" w:eastAsia="仿宋" w:cs="宋体"/>
                <w:kern w:val="0"/>
                <w:sz w:val="22"/>
                <w:szCs w:val="22"/>
              </w:rPr>
              <w:t>7</w:t>
            </w:r>
          </w:p>
        </w:tc>
        <w:tc>
          <w:tcPr>
            <w:tcW w:w="1160" w:type="pct"/>
            <w:vAlign w:val="center"/>
          </w:tcPr>
          <w:p>
            <w:pPr>
              <w:jc w:val="center"/>
              <w:rPr>
                <w:rFonts w:ascii="仿宋" w:hAnsi="仿宋" w:eastAsia="仿宋" w:cs="宋体"/>
                <w:szCs w:val="21"/>
              </w:rPr>
            </w:pPr>
            <w:r>
              <w:rPr>
                <w:rFonts w:hint="eastAsia" w:ascii="仿宋" w:hAnsi="仿宋" w:eastAsia="仿宋" w:cs="宋体"/>
                <w:szCs w:val="21"/>
              </w:rPr>
              <w:t>轻工产业发展工程</w:t>
            </w:r>
          </w:p>
        </w:tc>
        <w:tc>
          <w:tcPr>
            <w:tcW w:w="1706" w:type="pct"/>
            <w:vAlign w:val="center"/>
          </w:tcPr>
          <w:p>
            <w:pPr>
              <w:jc w:val="center"/>
              <w:rPr>
                <w:rFonts w:ascii="仿宋" w:hAnsi="仿宋" w:eastAsia="仿宋" w:cs="宋体"/>
                <w:szCs w:val="21"/>
              </w:rPr>
            </w:pPr>
          </w:p>
        </w:tc>
        <w:tc>
          <w:tcPr>
            <w:tcW w:w="452" w:type="pct"/>
            <w:vAlign w:val="center"/>
          </w:tcPr>
          <w:p>
            <w:pPr>
              <w:jc w:val="center"/>
              <w:rPr>
                <w:rFonts w:ascii="仿宋" w:hAnsi="仿宋" w:eastAsia="仿宋" w:cs="宋体"/>
                <w:szCs w:val="21"/>
              </w:rPr>
            </w:pPr>
            <w:r>
              <w:rPr>
                <w:rFonts w:hint="eastAsia" w:ascii="仿宋" w:hAnsi="仿宋" w:eastAsia="仿宋" w:cs="宋体"/>
                <w:szCs w:val="21"/>
              </w:rPr>
              <w:t>2021-2023</w:t>
            </w:r>
          </w:p>
        </w:tc>
        <w:tc>
          <w:tcPr>
            <w:tcW w:w="657" w:type="pct"/>
            <w:shd w:val="clear" w:color="auto" w:fill="auto"/>
            <w:noWrap/>
            <w:vAlign w:val="center"/>
          </w:tcPr>
          <w:p>
            <w:pPr>
              <w:jc w:val="center"/>
              <w:rPr>
                <w:rFonts w:ascii="仿宋" w:hAnsi="仿宋" w:eastAsia="仿宋" w:cs="宋体"/>
                <w:szCs w:val="21"/>
              </w:rPr>
            </w:pPr>
            <w:r>
              <w:rPr>
                <w:rFonts w:hint="eastAsia" w:ascii="仿宋" w:hAnsi="仿宋" w:eastAsia="仿宋" w:cs="宋体"/>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7" w:type="pct"/>
            <w:vMerge w:val="continue"/>
            <w:vAlign w:val="center"/>
          </w:tcPr>
          <w:p>
            <w:pPr>
              <w:jc w:val="center"/>
              <w:rPr>
                <w:rFonts w:ascii="仿宋" w:hAnsi="仿宋" w:eastAsia="仿宋" w:cs="宋体"/>
                <w:szCs w:val="21"/>
              </w:rPr>
            </w:pPr>
          </w:p>
        </w:tc>
        <w:tc>
          <w:tcPr>
            <w:tcW w:w="598" w:type="pct"/>
            <w:vMerge w:val="continue"/>
            <w:vAlign w:val="center"/>
          </w:tcPr>
          <w:p>
            <w:pPr>
              <w:jc w:val="center"/>
              <w:rPr>
                <w:rFonts w:ascii="仿宋" w:hAnsi="仿宋" w:eastAsia="仿宋" w:cs="宋体"/>
                <w:szCs w:val="21"/>
              </w:rPr>
            </w:pPr>
          </w:p>
        </w:tc>
        <w:tc>
          <w:tcPr>
            <w:tcW w:w="177" w:type="pct"/>
            <w:vAlign w:val="center"/>
          </w:tcPr>
          <w:p>
            <w:pPr>
              <w:widowControl/>
              <w:jc w:val="right"/>
              <w:textAlignment w:val="center"/>
              <w:rPr>
                <w:rFonts w:ascii="仿宋" w:hAnsi="仿宋" w:eastAsia="仿宋" w:cs="宋体"/>
                <w:szCs w:val="21"/>
              </w:rPr>
            </w:pPr>
            <w:r>
              <w:rPr>
                <w:rFonts w:hint="eastAsia" w:ascii="仿宋" w:hAnsi="仿宋" w:eastAsia="仿宋" w:cs="宋体"/>
                <w:kern w:val="0"/>
                <w:sz w:val="22"/>
                <w:szCs w:val="22"/>
              </w:rPr>
              <w:t>8</w:t>
            </w:r>
          </w:p>
        </w:tc>
        <w:tc>
          <w:tcPr>
            <w:tcW w:w="1160" w:type="pct"/>
            <w:vAlign w:val="center"/>
          </w:tcPr>
          <w:p>
            <w:pPr>
              <w:jc w:val="center"/>
              <w:rPr>
                <w:rFonts w:ascii="仿宋" w:hAnsi="仿宋" w:eastAsia="仿宋" w:cs="宋体"/>
                <w:szCs w:val="21"/>
              </w:rPr>
            </w:pPr>
            <w:r>
              <w:rPr>
                <w:rFonts w:hint="eastAsia" w:ascii="仿宋" w:hAnsi="仿宋" w:eastAsia="仿宋" w:cs="宋体"/>
                <w:szCs w:val="21"/>
              </w:rPr>
              <w:t>重点新材料建设工程</w:t>
            </w:r>
          </w:p>
        </w:tc>
        <w:tc>
          <w:tcPr>
            <w:tcW w:w="1706" w:type="pct"/>
            <w:vAlign w:val="center"/>
          </w:tcPr>
          <w:p>
            <w:pPr>
              <w:jc w:val="center"/>
              <w:rPr>
                <w:rFonts w:ascii="仿宋" w:hAnsi="仿宋" w:eastAsia="仿宋" w:cs="宋体"/>
                <w:szCs w:val="21"/>
              </w:rPr>
            </w:pPr>
          </w:p>
        </w:tc>
        <w:tc>
          <w:tcPr>
            <w:tcW w:w="452" w:type="pct"/>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shd w:val="clear" w:color="auto" w:fill="auto"/>
            <w:noWrap/>
            <w:vAlign w:val="center"/>
          </w:tcPr>
          <w:p>
            <w:pPr>
              <w:jc w:val="center"/>
              <w:rPr>
                <w:rFonts w:ascii="仿宋" w:hAnsi="仿宋" w:eastAsia="仿宋" w:cs="宋体"/>
                <w:szCs w:val="21"/>
              </w:rPr>
            </w:pPr>
            <w:r>
              <w:rPr>
                <w:rFonts w:hint="eastAsia" w:ascii="仿宋" w:hAnsi="仿宋" w:eastAsia="仿宋" w:cs="宋体"/>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7" w:type="pct"/>
            <w:vMerge w:val="continue"/>
            <w:vAlign w:val="center"/>
          </w:tcPr>
          <w:p>
            <w:pPr>
              <w:jc w:val="center"/>
              <w:rPr>
                <w:rFonts w:ascii="仿宋" w:hAnsi="仿宋" w:eastAsia="仿宋" w:cs="宋体"/>
                <w:szCs w:val="21"/>
              </w:rPr>
            </w:pPr>
          </w:p>
        </w:tc>
        <w:tc>
          <w:tcPr>
            <w:tcW w:w="598" w:type="pct"/>
            <w:vMerge w:val="continue"/>
            <w:vAlign w:val="center"/>
          </w:tcPr>
          <w:p>
            <w:pPr>
              <w:jc w:val="center"/>
              <w:rPr>
                <w:rFonts w:ascii="仿宋" w:hAnsi="仿宋" w:eastAsia="仿宋" w:cs="宋体"/>
                <w:szCs w:val="21"/>
              </w:rPr>
            </w:pPr>
          </w:p>
        </w:tc>
        <w:tc>
          <w:tcPr>
            <w:tcW w:w="177" w:type="pct"/>
            <w:vAlign w:val="center"/>
          </w:tcPr>
          <w:p>
            <w:pPr>
              <w:widowControl/>
              <w:jc w:val="right"/>
              <w:textAlignment w:val="center"/>
              <w:rPr>
                <w:rFonts w:ascii="仿宋" w:hAnsi="仿宋" w:eastAsia="仿宋" w:cs="宋体"/>
                <w:szCs w:val="21"/>
              </w:rPr>
            </w:pPr>
            <w:r>
              <w:rPr>
                <w:rFonts w:hint="eastAsia" w:ascii="仿宋" w:hAnsi="仿宋" w:eastAsia="仿宋" w:cs="宋体"/>
                <w:kern w:val="0"/>
                <w:sz w:val="22"/>
                <w:szCs w:val="22"/>
              </w:rPr>
              <w:t>9</w:t>
            </w:r>
          </w:p>
        </w:tc>
        <w:tc>
          <w:tcPr>
            <w:tcW w:w="1160" w:type="pct"/>
            <w:vAlign w:val="center"/>
          </w:tcPr>
          <w:p>
            <w:pPr>
              <w:jc w:val="center"/>
              <w:rPr>
                <w:rFonts w:ascii="仿宋" w:hAnsi="仿宋" w:eastAsia="仿宋" w:cs="宋体"/>
                <w:szCs w:val="21"/>
              </w:rPr>
            </w:pPr>
            <w:r>
              <w:rPr>
                <w:rFonts w:hint="eastAsia" w:ascii="仿宋" w:hAnsi="仿宋" w:eastAsia="仿宋" w:cs="宋体"/>
                <w:szCs w:val="21"/>
              </w:rPr>
              <w:t>医药产业创新工程</w:t>
            </w:r>
          </w:p>
        </w:tc>
        <w:tc>
          <w:tcPr>
            <w:tcW w:w="1706" w:type="pct"/>
            <w:vAlign w:val="center"/>
          </w:tcPr>
          <w:p>
            <w:pPr>
              <w:jc w:val="center"/>
              <w:rPr>
                <w:rFonts w:ascii="仿宋" w:hAnsi="仿宋" w:eastAsia="仿宋" w:cs="宋体"/>
                <w:szCs w:val="21"/>
              </w:rPr>
            </w:pPr>
          </w:p>
        </w:tc>
        <w:tc>
          <w:tcPr>
            <w:tcW w:w="452" w:type="pct"/>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shd w:val="clear" w:color="auto" w:fill="auto"/>
            <w:noWrap/>
            <w:vAlign w:val="center"/>
          </w:tcPr>
          <w:p>
            <w:pPr>
              <w:jc w:val="center"/>
              <w:rPr>
                <w:rFonts w:ascii="仿宋" w:hAnsi="仿宋" w:eastAsia="仿宋" w:cs="宋体"/>
                <w:szCs w:val="21"/>
              </w:rPr>
            </w:pPr>
            <w:r>
              <w:rPr>
                <w:rFonts w:hint="eastAsia" w:ascii="仿宋" w:hAnsi="仿宋" w:eastAsia="仿宋" w:cs="宋体"/>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7" w:type="pct"/>
            <w:vMerge w:val="continue"/>
            <w:vAlign w:val="center"/>
          </w:tcPr>
          <w:p>
            <w:pPr>
              <w:jc w:val="center"/>
              <w:rPr>
                <w:rFonts w:ascii="仿宋" w:hAnsi="仿宋" w:eastAsia="仿宋" w:cs="宋体"/>
                <w:szCs w:val="21"/>
              </w:rPr>
            </w:pPr>
          </w:p>
        </w:tc>
        <w:tc>
          <w:tcPr>
            <w:tcW w:w="598" w:type="pct"/>
            <w:vMerge w:val="continue"/>
            <w:vAlign w:val="center"/>
          </w:tcPr>
          <w:p>
            <w:pPr>
              <w:jc w:val="center"/>
              <w:rPr>
                <w:rFonts w:ascii="仿宋" w:hAnsi="仿宋" w:eastAsia="仿宋" w:cs="宋体"/>
                <w:szCs w:val="21"/>
              </w:rPr>
            </w:pPr>
          </w:p>
        </w:tc>
        <w:tc>
          <w:tcPr>
            <w:tcW w:w="177" w:type="pct"/>
            <w:vAlign w:val="center"/>
          </w:tcPr>
          <w:p>
            <w:pPr>
              <w:widowControl/>
              <w:jc w:val="right"/>
              <w:textAlignment w:val="center"/>
              <w:rPr>
                <w:rFonts w:ascii="仿宋" w:hAnsi="仿宋" w:eastAsia="仿宋" w:cs="宋体"/>
                <w:szCs w:val="21"/>
              </w:rPr>
            </w:pPr>
            <w:r>
              <w:rPr>
                <w:rFonts w:hint="eastAsia" w:ascii="仿宋" w:hAnsi="仿宋" w:eastAsia="仿宋" w:cs="宋体"/>
                <w:szCs w:val="21"/>
              </w:rPr>
              <w:t>10</w:t>
            </w:r>
          </w:p>
        </w:tc>
        <w:tc>
          <w:tcPr>
            <w:tcW w:w="1160" w:type="pct"/>
            <w:vAlign w:val="center"/>
          </w:tcPr>
          <w:p>
            <w:pPr>
              <w:jc w:val="center"/>
              <w:rPr>
                <w:rFonts w:ascii="仿宋" w:hAnsi="仿宋" w:eastAsia="仿宋" w:cs="宋体"/>
                <w:szCs w:val="21"/>
              </w:rPr>
            </w:pPr>
            <w:r>
              <w:rPr>
                <w:rFonts w:hint="eastAsia" w:ascii="仿宋" w:hAnsi="仿宋" w:eastAsia="仿宋" w:cs="宋体"/>
                <w:szCs w:val="21"/>
              </w:rPr>
              <w:t>智能制造产业园</w:t>
            </w:r>
          </w:p>
        </w:tc>
        <w:tc>
          <w:tcPr>
            <w:tcW w:w="1706" w:type="pct"/>
            <w:vAlign w:val="center"/>
          </w:tcPr>
          <w:p>
            <w:pPr>
              <w:jc w:val="center"/>
              <w:rPr>
                <w:rFonts w:ascii="仿宋" w:hAnsi="仿宋" w:eastAsia="仿宋" w:cs="宋体"/>
                <w:szCs w:val="21"/>
              </w:rPr>
            </w:pPr>
          </w:p>
        </w:tc>
        <w:tc>
          <w:tcPr>
            <w:tcW w:w="452" w:type="pct"/>
            <w:vAlign w:val="center"/>
          </w:tcPr>
          <w:p>
            <w:pPr>
              <w:jc w:val="center"/>
              <w:rPr>
                <w:rFonts w:ascii="仿宋" w:hAnsi="仿宋" w:eastAsia="仿宋" w:cs="宋体"/>
                <w:szCs w:val="21"/>
              </w:rPr>
            </w:pPr>
          </w:p>
        </w:tc>
        <w:tc>
          <w:tcPr>
            <w:tcW w:w="657" w:type="pct"/>
            <w:shd w:val="clear" w:color="auto" w:fill="auto"/>
            <w:noWrap/>
            <w:vAlign w:val="center"/>
          </w:tcPr>
          <w:p>
            <w:pPr>
              <w:jc w:val="center"/>
              <w:rPr>
                <w:rFonts w:ascii="仿宋" w:hAnsi="仿宋" w:eastAsia="仿宋" w:cs="宋体"/>
                <w:szCs w:val="21"/>
              </w:rPr>
            </w:pPr>
            <w:r>
              <w:rPr>
                <w:rFonts w:hint="eastAsia" w:ascii="仿宋" w:hAnsi="仿宋" w:eastAsia="仿宋" w:cs="宋体"/>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47" w:type="pct"/>
            <w:vMerge w:val="continue"/>
            <w:vAlign w:val="center"/>
          </w:tcPr>
          <w:p>
            <w:pPr>
              <w:jc w:val="center"/>
              <w:rPr>
                <w:rFonts w:ascii="仿宋" w:hAnsi="仿宋" w:eastAsia="仿宋" w:cs="宋体"/>
                <w:szCs w:val="21"/>
              </w:rPr>
            </w:pPr>
          </w:p>
        </w:tc>
        <w:tc>
          <w:tcPr>
            <w:tcW w:w="598" w:type="pct"/>
            <w:vMerge w:val="restart"/>
            <w:vAlign w:val="center"/>
          </w:tcPr>
          <w:p>
            <w:pPr>
              <w:jc w:val="center"/>
              <w:rPr>
                <w:rFonts w:ascii="仿宋" w:hAnsi="仿宋" w:eastAsia="仿宋" w:cs="宋体"/>
                <w:szCs w:val="21"/>
              </w:rPr>
            </w:pPr>
            <w:r>
              <w:rPr>
                <w:rFonts w:hint="eastAsia" w:ascii="仿宋" w:hAnsi="仿宋" w:eastAsia="仿宋" w:cs="宋体"/>
                <w:szCs w:val="21"/>
              </w:rPr>
              <w:t>移动源治理项目</w:t>
            </w:r>
          </w:p>
        </w:tc>
        <w:tc>
          <w:tcPr>
            <w:tcW w:w="177" w:type="pct"/>
            <w:vAlign w:val="center"/>
          </w:tcPr>
          <w:p>
            <w:pPr>
              <w:widowControl/>
              <w:jc w:val="right"/>
              <w:textAlignment w:val="center"/>
              <w:rPr>
                <w:rFonts w:ascii="仿宋" w:hAnsi="仿宋" w:eastAsia="仿宋" w:cs="宋体"/>
                <w:szCs w:val="21"/>
              </w:rPr>
            </w:pPr>
            <w:r>
              <w:rPr>
                <w:rFonts w:hint="eastAsia" w:ascii="仿宋" w:hAnsi="仿宋" w:eastAsia="仿宋" w:cs="宋体"/>
                <w:kern w:val="0"/>
                <w:sz w:val="22"/>
                <w:szCs w:val="22"/>
              </w:rPr>
              <w:t>11</w:t>
            </w:r>
          </w:p>
        </w:tc>
        <w:tc>
          <w:tcPr>
            <w:tcW w:w="1160" w:type="pct"/>
            <w:vAlign w:val="center"/>
          </w:tcPr>
          <w:p>
            <w:pPr>
              <w:jc w:val="center"/>
              <w:rPr>
                <w:rFonts w:ascii="仿宋" w:hAnsi="仿宋" w:eastAsia="仿宋" w:cs="宋体"/>
                <w:szCs w:val="21"/>
              </w:rPr>
            </w:pPr>
            <w:r>
              <w:rPr>
                <w:rFonts w:hint="eastAsia" w:ascii="仿宋" w:hAnsi="仿宋" w:eastAsia="仿宋" w:cs="宋体"/>
                <w:szCs w:val="21"/>
              </w:rPr>
              <w:t>公交车辆更新项目</w:t>
            </w:r>
          </w:p>
        </w:tc>
        <w:tc>
          <w:tcPr>
            <w:tcW w:w="1706" w:type="pct"/>
            <w:vAlign w:val="center"/>
          </w:tcPr>
          <w:p>
            <w:pPr>
              <w:jc w:val="center"/>
              <w:rPr>
                <w:rFonts w:ascii="仿宋" w:hAnsi="仿宋" w:eastAsia="仿宋" w:cs="宋体"/>
                <w:szCs w:val="21"/>
              </w:rPr>
            </w:pPr>
            <w:r>
              <w:rPr>
                <w:rFonts w:hint="eastAsia" w:ascii="仿宋" w:hAnsi="仿宋" w:eastAsia="仿宋" w:cs="宋体"/>
                <w:szCs w:val="21"/>
              </w:rPr>
              <w:t>公交车辆更新</w:t>
            </w:r>
          </w:p>
        </w:tc>
        <w:tc>
          <w:tcPr>
            <w:tcW w:w="452" w:type="pct"/>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vAlign w:val="center"/>
          </w:tcPr>
          <w:p>
            <w:pPr>
              <w:jc w:val="center"/>
              <w:rPr>
                <w:rFonts w:ascii="仿宋" w:hAnsi="仿宋" w:eastAsia="仿宋" w:cs="宋体"/>
                <w:szCs w:val="21"/>
              </w:rPr>
            </w:pPr>
            <w:r>
              <w:rPr>
                <w:rFonts w:hint="eastAsia" w:ascii="仿宋" w:hAnsi="仿宋" w:eastAsia="仿宋" w:cs="宋体"/>
                <w:szCs w:val="21"/>
              </w:rPr>
              <w:t>市交通运</w:t>
            </w:r>
            <w:r>
              <w:rPr>
                <w:rFonts w:hint="eastAsia" w:ascii="仿宋" w:hAnsi="仿宋" w:eastAsia="仿宋" w:cs="宋体"/>
                <w:szCs w:val="21"/>
              </w:rPr>
              <w:br w:type="textWrapping"/>
            </w:r>
            <w:r>
              <w:rPr>
                <w:rFonts w:hint="eastAsia" w:ascii="仿宋" w:hAnsi="仿宋" w:eastAsia="仿宋" w:cs="宋体"/>
                <w:szCs w:val="21"/>
              </w:rPr>
              <w:t>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47" w:type="pct"/>
            <w:vMerge w:val="continue"/>
            <w:vAlign w:val="center"/>
          </w:tcPr>
          <w:p>
            <w:pPr>
              <w:jc w:val="center"/>
              <w:rPr>
                <w:rFonts w:ascii="仿宋" w:hAnsi="仿宋" w:eastAsia="仿宋" w:cs="宋体"/>
                <w:szCs w:val="21"/>
              </w:rPr>
            </w:pPr>
          </w:p>
        </w:tc>
        <w:tc>
          <w:tcPr>
            <w:tcW w:w="598" w:type="pct"/>
            <w:vMerge w:val="continue"/>
            <w:vAlign w:val="center"/>
          </w:tcPr>
          <w:p>
            <w:pPr>
              <w:jc w:val="center"/>
              <w:rPr>
                <w:rFonts w:ascii="仿宋" w:hAnsi="仿宋" w:eastAsia="仿宋" w:cs="宋体"/>
                <w:szCs w:val="21"/>
              </w:rPr>
            </w:pPr>
          </w:p>
        </w:tc>
        <w:tc>
          <w:tcPr>
            <w:tcW w:w="177" w:type="pct"/>
            <w:vAlign w:val="center"/>
          </w:tcPr>
          <w:p>
            <w:pPr>
              <w:widowControl/>
              <w:jc w:val="right"/>
              <w:textAlignment w:val="center"/>
              <w:rPr>
                <w:rFonts w:ascii="仿宋" w:hAnsi="仿宋" w:eastAsia="仿宋" w:cs="宋体"/>
                <w:szCs w:val="21"/>
              </w:rPr>
            </w:pPr>
            <w:r>
              <w:rPr>
                <w:rFonts w:hint="eastAsia" w:ascii="仿宋" w:hAnsi="仿宋" w:eastAsia="仿宋" w:cs="宋体"/>
                <w:kern w:val="0"/>
                <w:sz w:val="22"/>
                <w:szCs w:val="22"/>
              </w:rPr>
              <w:t>12</w:t>
            </w:r>
          </w:p>
        </w:tc>
        <w:tc>
          <w:tcPr>
            <w:tcW w:w="1160" w:type="pct"/>
            <w:vAlign w:val="center"/>
          </w:tcPr>
          <w:p>
            <w:pPr>
              <w:jc w:val="center"/>
              <w:rPr>
                <w:rFonts w:ascii="仿宋" w:hAnsi="仿宋" w:eastAsia="仿宋" w:cs="宋体"/>
                <w:szCs w:val="21"/>
              </w:rPr>
            </w:pPr>
            <w:r>
              <w:rPr>
                <w:rFonts w:hint="eastAsia" w:ascii="仿宋" w:hAnsi="仿宋" w:eastAsia="仿宋" w:cs="宋体"/>
                <w:szCs w:val="21"/>
              </w:rPr>
              <w:t>新能源汽车购置项目</w:t>
            </w:r>
          </w:p>
        </w:tc>
        <w:tc>
          <w:tcPr>
            <w:tcW w:w="1706" w:type="pct"/>
            <w:vAlign w:val="center"/>
          </w:tcPr>
          <w:p>
            <w:pPr>
              <w:jc w:val="center"/>
              <w:rPr>
                <w:rFonts w:ascii="仿宋" w:hAnsi="仿宋" w:eastAsia="仿宋" w:cs="宋体"/>
                <w:szCs w:val="21"/>
              </w:rPr>
            </w:pPr>
            <w:r>
              <w:rPr>
                <w:rFonts w:hint="eastAsia" w:ascii="仿宋" w:hAnsi="仿宋" w:eastAsia="仿宋" w:cs="宋体"/>
                <w:szCs w:val="21"/>
              </w:rPr>
              <w:t>新能源汽车每年更新</w:t>
            </w:r>
          </w:p>
        </w:tc>
        <w:tc>
          <w:tcPr>
            <w:tcW w:w="452" w:type="pct"/>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noWrap/>
            <w:vAlign w:val="center"/>
          </w:tcPr>
          <w:p>
            <w:pPr>
              <w:jc w:val="center"/>
              <w:rPr>
                <w:rFonts w:ascii="仿宋" w:hAnsi="仿宋" w:eastAsia="仿宋" w:cs="宋体"/>
                <w:szCs w:val="21"/>
              </w:rPr>
            </w:pPr>
            <w:r>
              <w:rPr>
                <w:rFonts w:hint="eastAsia" w:ascii="仿宋" w:hAnsi="仿宋" w:eastAsia="仿宋" w:cs="宋体"/>
                <w:szCs w:val="21"/>
              </w:rPr>
              <w:t>市交通运</w:t>
            </w:r>
            <w:r>
              <w:rPr>
                <w:rFonts w:hint="eastAsia" w:ascii="仿宋" w:hAnsi="仿宋" w:eastAsia="仿宋" w:cs="宋体"/>
                <w:szCs w:val="21"/>
              </w:rPr>
              <w:br w:type="textWrapping"/>
            </w:r>
            <w:r>
              <w:rPr>
                <w:rFonts w:hint="eastAsia" w:ascii="仿宋" w:hAnsi="仿宋" w:eastAsia="仿宋" w:cs="宋体"/>
                <w:szCs w:val="21"/>
              </w:rPr>
              <w:t>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47" w:type="pct"/>
            <w:vMerge w:val="continue"/>
            <w:vAlign w:val="center"/>
          </w:tcPr>
          <w:p>
            <w:pPr>
              <w:jc w:val="center"/>
              <w:rPr>
                <w:rFonts w:ascii="仿宋" w:hAnsi="仿宋" w:eastAsia="仿宋" w:cs="宋体"/>
                <w:szCs w:val="21"/>
              </w:rPr>
            </w:pPr>
          </w:p>
        </w:tc>
        <w:tc>
          <w:tcPr>
            <w:tcW w:w="598" w:type="pct"/>
            <w:vMerge w:val="continue"/>
            <w:vAlign w:val="center"/>
          </w:tcPr>
          <w:p>
            <w:pPr>
              <w:jc w:val="center"/>
              <w:rPr>
                <w:rFonts w:ascii="仿宋" w:hAnsi="仿宋" w:eastAsia="仿宋" w:cs="宋体"/>
                <w:szCs w:val="21"/>
              </w:rPr>
            </w:pPr>
          </w:p>
        </w:tc>
        <w:tc>
          <w:tcPr>
            <w:tcW w:w="177" w:type="pct"/>
            <w:vAlign w:val="center"/>
          </w:tcPr>
          <w:p>
            <w:pPr>
              <w:widowControl/>
              <w:jc w:val="right"/>
              <w:textAlignment w:val="center"/>
              <w:rPr>
                <w:rFonts w:ascii="仿宋" w:hAnsi="仿宋" w:eastAsia="仿宋" w:cs="宋体"/>
                <w:kern w:val="0"/>
                <w:sz w:val="22"/>
                <w:szCs w:val="22"/>
              </w:rPr>
            </w:pPr>
            <w:r>
              <w:rPr>
                <w:rFonts w:hint="eastAsia" w:ascii="仿宋" w:hAnsi="仿宋" w:eastAsia="仿宋" w:cs="宋体"/>
                <w:kern w:val="0"/>
                <w:sz w:val="22"/>
                <w:szCs w:val="22"/>
              </w:rPr>
              <w:t>13</w:t>
            </w:r>
          </w:p>
        </w:tc>
        <w:tc>
          <w:tcPr>
            <w:tcW w:w="1160" w:type="pct"/>
            <w:vAlign w:val="center"/>
          </w:tcPr>
          <w:p>
            <w:pPr>
              <w:jc w:val="center"/>
              <w:rPr>
                <w:rFonts w:ascii="仿宋" w:hAnsi="仿宋" w:eastAsia="仿宋" w:cs="宋体"/>
                <w:szCs w:val="21"/>
              </w:rPr>
            </w:pPr>
            <w:r>
              <w:rPr>
                <w:rFonts w:hint="eastAsia" w:ascii="仿宋" w:hAnsi="仿宋" w:eastAsia="仿宋" w:cs="宋体"/>
                <w:szCs w:val="21"/>
                <w:lang w:val="zh-CN"/>
              </w:rPr>
              <w:t>新能源汽车充电基础设施</w:t>
            </w:r>
          </w:p>
        </w:tc>
        <w:tc>
          <w:tcPr>
            <w:tcW w:w="1706" w:type="pct"/>
            <w:vAlign w:val="center"/>
          </w:tcPr>
          <w:p>
            <w:pPr>
              <w:jc w:val="center"/>
              <w:rPr>
                <w:rFonts w:ascii="仿宋" w:hAnsi="仿宋" w:eastAsia="仿宋" w:cs="宋体"/>
                <w:szCs w:val="21"/>
              </w:rPr>
            </w:pPr>
            <w:r>
              <w:rPr>
                <w:rFonts w:hint="eastAsia" w:ascii="仿宋" w:hAnsi="仿宋" w:eastAsia="仿宋" w:cs="宋体"/>
                <w:szCs w:val="21"/>
                <w:lang w:val="zh-CN"/>
              </w:rPr>
              <w:t>新能源智能充电基础设施网络、新能源汽车充电数据中心以及配套服务设施等项目打造城区1公里充电圈。</w:t>
            </w:r>
          </w:p>
        </w:tc>
        <w:tc>
          <w:tcPr>
            <w:tcW w:w="452" w:type="pct"/>
            <w:vAlign w:val="center"/>
          </w:tcPr>
          <w:p>
            <w:pPr>
              <w:jc w:val="center"/>
              <w:rPr>
                <w:rFonts w:ascii="仿宋" w:hAnsi="仿宋" w:eastAsia="仿宋" w:cs="宋体"/>
                <w:szCs w:val="21"/>
              </w:rPr>
            </w:pPr>
          </w:p>
        </w:tc>
        <w:tc>
          <w:tcPr>
            <w:tcW w:w="657" w:type="pct"/>
            <w:noWrap/>
          </w:tcPr>
          <w:p>
            <w:pPr>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47" w:type="pct"/>
            <w:vMerge w:val="continue"/>
            <w:vAlign w:val="center"/>
          </w:tcPr>
          <w:p>
            <w:pPr>
              <w:jc w:val="center"/>
              <w:rPr>
                <w:rFonts w:ascii="仿宋" w:hAnsi="仿宋" w:eastAsia="仿宋" w:cs="宋体"/>
                <w:szCs w:val="21"/>
              </w:rPr>
            </w:pPr>
          </w:p>
        </w:tc>
        <w:tc>
          <w:tcPr>
            <w:tcW w:w="598" w:type="pct"/>
            <w:vMerge w:val="continue"/>
            <w:vAlign w:val="center"/>
          </w:tcPr>
          <w:p>
            <w:pPr>
              <w:jc w:val="center"/>
              <w:rPr>
                <w:rFonts w:ascii="仿宋" w:hAnsi="仿宋" w:eastAsia="仿宋" w:cs="宋体"/>
                <w:szCs w:val="21"/>
              </w:rPr>
            </w:pPr>
          </w:p>
        </w:tc>
        <w:tc>
          <w:tcPr>
            <w:tcW w:w="177" w:type="pct"/>
            <w:vAlign w:val="center"/>
          </w:tcPr>
          <w:p>
            <w:pPr>
              <w:widowControl/>
              <w:jc w:val="right"/>
              <w:textAlignment w:val="center"/>
              <w:rPr>
                <w:rFonts w:ascii="仿宋" w:hAnsi="仿宋" w:eastAsia="仿宋" w:cs="宋体"/>
                <w:szCs w:val="21"/>
              </w:rPr>
            </w:pPr>
            <w:r>
              <w:rPr>
                <w:rFonts w:hint="eastAsia" w:ascii="仿宋" w:hAnsi="仿宋" w:eastAsia="仿宋" w:cs="宋体"/>
                <w:kern w:val="0"/>
                <w:sz w:val="22"/>
                <w:szCs w:val="22"/>
              </w:rPr>
              <w:t>14</w:t>
            </w:r>
          </w:p>
        </w:tc>
        <w:tc>
          <w:tcPr>
            <w:tcW w:w="1160" w:type="pct"/>
            <w:vAlign w:val="center"/>
          </w:tcPr>
          <w:p>
            <w:pPr>
              <w:jc w:val="center"/>
              <w:rPr>
                <w:rFonts w:ascii="仿宋" w:hAnsi="仿宋" w:eastAsia="仿宋" w:cs="宋体"/>
                <w:szCs w:val="21"/>
              </w:rPr>
            </w:pPr>
            <w:r>
              <w:rPr>
                <w:rFonts w:hint="eastAsia" w:ascii="仿宋" w:hAnsi="仿宋" w:eastAsia="仿宋" w:cs="宋体"/>
                <w:szCs w:val="21"/>
              </w:rPr>
              <w:t>老旧车淘汰项目</w:t>
            </w:r>
          </w:p>
        </w:tc>
        <w:tc>
          <w:tcPr>
            <w:tcW w:w="1706" w:type="pct"/>
            <w:vAlign w:val="center"/>
          </w:tcPr>
          <w:p>
            <w:pPr>
              <w:jc w:val="center"/>
              <w:rPr>
                <w:rFonts w:ascii="仿宋" w:hAnsi="仿宋" w:eastAsia="仿宋" w:cs="宋体"/>
                <w:szCs w:val="21"/>
              </w:rPr>
            </w:pPr>
            <w:r>
              <w:rPr>
                <w:rFonts w:hint="eastAsia" w:ascii="仿宋" w:hAnsi="仿宋" w:eastAsia="仿宋" w:cs="宋体"/>
                <w:szCs w:val="21"/>
              </w:rPr>
              <w:t>国三以下的柴油货车，稀薄燃烧技术或“油改气”的老旧燃气车辆淘汰淘汰补偿项目</w:t>
            </w:r>
          </w:p>
        </w:tc>
        <w:tc>
          <w:tcPr>
            <w:tcW w:w="452" w:type="pct"/>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noWrap/>
          </w:tcPr>
          <w:p>
            <w:pPr>
              <w:jc w:val="center"/>
              <w:rPr>
                <w:rFonts w:ascii="仿宋" w:hAnsi="仿宋" w:eastAsia="仿宋" w:cs="宋体"/>
                <w:szCs w:val="21"/>
              </w:rPr>
            </w:pPr>
            <w:r>
              <w:rPr>
                <w:rFonts w:hint="eastAsia" w:ascii="仿宋" w:hAnsi="仿宋" w:eastAsia="仿宋" w:cs="宋体"/>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7" w:type="pct"/>
            <w:vMerge w:val="continue"/>
            <w:vAlign w:val="center"/>
          </w:tcPr>
          <w:p>
            <w:pPr>
              <w:jc w:val="center"/>
              <w:rPr>
                <w:rFonts w:ascii="仿宋" w:hAnsi="仿宋" w:eastAsia="仿宋" w:cs="宋体"/>
                <w:szCs w:val="21"/>
              </w:rPr>
            </w:pPr>
          </w:p>
        </w:tc>
        <w:tc>
          <w:tcPr>
            <w:tcW w:w="598" w:type="pct"/>
            <w:vMerge w:val="continue"/>
            <w:vAlign w:val="center"/>
          </w:tcPr>
          <w:p>
            <w:pPr>
              <w:jc w:val="center"/>
              <w:rPr>
                <w:rFonts w:ascii="仿宋" w:hAnsi="仿宋" w:eastAsia="仿宋" w:cs="宋体"/>
                <w:szCs w:val="21"/>
              </w:rPr>
            </w:pPr>
          </w:p>
        </w:tc>
        <w:tc>
          <w:tcPr>
            <w:tcW w:w="177" w:type="pct"/>
            <w:vMerge w:val="restart"/>
            <w:vAlign w:val="center"/>
          </w:tcPr>
          <w:p>
            <w:pPr>
              <w:widowControl/>
              <w:jc w:val="right"/>
              <w:textAlignment w:val="center"/>
              <w:rPr>
                <w:rFonts w:ascii="仿宋" w:hAnsi="仿宋" w:eastAsia="仿宋" w:cs="宋体"/>
                <w:szCs w:val="21"/>
              </w:rPr>
            </w:pPr>
            <w:r>
              <w:rPr>
                <w:rFonts w:hint="eastAsia" w:ascii="仿宋" w:hAnsi="仿宋" w:eastAsia="仿宋" w:cs="宋体"/>
                <w:szCs w:val="21"/>
              </w:rPr>
              <w:t>15</w:t>
            </w:r>
          </w:p>
        </w:tc>
        <w:tc>
          <w:tcPr>
            <w:tcW w:w="1160" w:type="pct"/>
            <w:vMerge w:val="restart"/>
            <w:vAlign w:val="center"/>
          </w:tcPr>
          <w:p>
            <w:pPr>
              <w:jc w:val="center"/>
              <w:rPr>
                <w:rFonts w:ascii="仿宋" w:hAnsi="仿宋" w:eastAsia="仿宋" w:cs="宋体"/>
                <w:szCs w:val="21"/>
              </w:rPr>
            </w:pPr>
            <w:r>
              <w:rPr>
                <w:rFonts w:hint="eastAsia" w:ascii="仿宋" w:hAnsi="仿宋" w:eastAsia="仿宋" w:cs="宋体"/>
                <w:szCs w:val="21"/>
              </w:rPr>
              <w:t>重型柴油货车在线设备购置项目</w:t>
            </w:r>
          </w:p>
        </w:tc>
        <w:tc>
          <w:tcPr>
            <w:tcW w:w="1706" w:type="pct"/>
            <w:vAlign w:val="center"/>
          </w:tcPr>
          <w:p>
            <w:pPr>
              <w:jc w:val="center"/>
              <w:rPr>
                <w:rFonts w:ascii="仿宋" w:hAnsi="仿宋" w:eastAsia="仿宋" w:cs="宋体"/>
                <w:szCs w:val="21"/>
              </w:rPr>
            </w:pPr>
            <w:r>
              <w:rPr>
                <w:rFonts w:hint="eastAsia" w:ascii="仿宋" w:hAnsi="仿宋" w:eastAsia="仿宋" w:cs="宋体"/>
                <w:szCs w:val="21"/>
              </w:rPr>
              <w:t>国IV以上重型柴油货车建设在线监控平台建设项目</w:t>
            </w:r>
          </w:p>
        </w:tc>
        <w:tc>
          <w:tcPr>
            <w:tcW w:w="452" w:type="pct"/>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noWrap/>
          </w:tcPr>
          <w:p>
            <w:pPr>
              <w:jc w:val="center"/>
              <w:rPr>
                <w:rFonts w:ascii="仿宋" w:hAnsi="仿宋" w:eastAsia="仿宋" w:cs="宋体"/>
                <w:szCs w:val="21"/>
              </w:rPr>
            </w:pPr>
            <w:r>
              <w:rPr>
                <w:rFonts w:hint="eastAsia" w:ascii="仿宋" w:hAnsi="仿宋" w:eastAsia="仿宋" w:cs="宋体"/>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7" w:type="pct"/>
            <w:vMerge w:val="continue"/>
            <w:vAlign w:val="center"/>
          </w:tcPr>
          <w:p>
            <w:pPr>
              <w:jc w:val="center"/>
              <w:rPr>
                <w:rFonts w:ascii="仿宋" w:hAnsi="仿宋" w:eastAsia="仿宋" w:cs="宋体"/>
                <w:szCs w:val="21"/>
              </w:rPr>
            </w:pPr>
          </w:p>
        </w:tc>
        <w:tc>
          <w:tcPr>
            <w:tcW w:w="598" w:type="pct"/>
            <w:vMerge w:val="continue"/>
            <w:vAlign w:val="center"/>
          </w:tcPr>
          <w:p>
            <w:pPr>
              <w:jc w:val="center"/>
              <w:rPr>
                <w:rFonts w:ascii="仿宋" w:hAnsi="仿宋" w:eastAsia="仿宋" w:cs="宋体"/>
                <w:szCs w:val="21"/>
              </w:rPr>
            </w:pPr>
          </w:p>
        </w:tc>
        <w:tc>
          <w:tcPr>
            <w:tcW w:w="177" w:type="pct"/>
            <w:vMerge w:val="continue"/>
            <w:vAlign w:val="center"/>
          </w:tcPr>
          <w:p>
            <w:pPr>
              <w:jc w:val="center"/>
              <w:rPr>
                <w:rFonts w:ascii="仿宋" w:hAnsi="仿宋" w:eastAsia="仿宋" w:cs="宋体"/>
                <w:szCs w:val="21"/>
              </w:rPr>
            </w:pPr>
          </w:p>
        </w:tc>
        <w:tc>
          <w:tcPr>
            <w:tcW w:w="1160" w:type="pct"/>
            <w:vMerge w:val="continue"/>
            <w:vAlign w:val="center"/>
          </w:tcPr>
          <w:p>
            <w:pPr>
              <w:jc w:val="center"/>
              <w:rPr>
                <w:rFonts w:ascii="仿宋" w:hAnsi="仿宋" w:eastAsia="仿宋" w:cs="宋体"/>
                <w:szCs w:val="21"/>
              </w:rPr>
            </w:pPr>
          </w:p>
        </w:tc>
        <w:tc>
          <w:tcPr>
            <w:tcW w:w="1706" w:type="pct"/>
            <w:vAlign w:val="center"/>
          </w:tcPr>
          <w:p>
            <w:pPr>
              <w:jc w:val="center"/>
              <w:rPr>
                <w:rFonts w:ascii="仿宋" w:hAnsi="仿宋" w:eastAsia="仿宋" w:cs="宋体"/>
                <w:szCs w:val="21"/>
              </w:rPr>
            </w:pPr>
            <w:r>
              <w:rPr>
                <w:rFonts w:hint="eastAsia" w:ascii="仿宋" w:hAnsi="仿宋" w:eastAsia="仿宋" w:cs="宋体"/>
                <w:szCs w:val="21"/>
              </w:rPr>
              <w:t>重型柴油货车在线设备购置项目</w:t>
            </w:r>
          </w:p>
        </w:tc>
        <w:tc>
          <w:tcPr>
            <w:tcW w:w="452" w:type="pct"/>
            <w:noWrap/>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noWrap/>
          </w:tcPr>
          <w:p>
            <w:pPr>
              <w:jc w:val="center"/>
              <w:rPr>
                <w:rFonts w:ascii="仿宋" w:hAnsi="仿宋" w:eastAsia="仿宋" w:cs="宋体"/>
                <w:szCs w:val="21"/>
              </w:rPr>
            </w:pPr>
            <w:r>
              <w:rPr>
                <w:rFonts w:hint="eastAsia" w:ascii="仿宋" w:hAnsi="仿宋" w:eastAsia="仿宋" w:cs="宋体"/>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7" w:type="pct"/>
            <w:vMerge w:val="continue"/>
            <w:vAlign w:val="center"/>
          </w:tcPr>
          <w:p>
            <w:pPr>
              <w:jc w:val="center"/>
              <w:rPr>
                <w:rFonts w:ascii="仿宋" w:hAnsi="仿宋" w:eastAsia="仿宋" w:cs="宋体"/>
                <w:szCs w:val="21"/>
              </w:rPr>
            </w:pPr>
          </w:p>
        </w:tc>
        <w:tc>
          <w:tcPr>
            <w:tcW w:w="598" w:type="pct"/>
            <w:vMerge w:val="continue"/>
            <w:vAlign w:val="center"/>
          </w:tcPr>
          <w:p>
            <w:pPr>
              <w:jc w:val="center"/>
              <w:rPr>
                <w:rFonts w:ascii="仿宋" w:hAnsi="仿宋" w:eastAsia="仿宋" w:cs="宋体"/>
                <w:szCs w:val="21"/>
              </w:rPr>
            </w:pPr>
          </w:p>
        </w:tc>
        <w:tc>
          <w:tcPr>
            <w:tcW w:w="177" w:type="pct"/>
            <w:vMerge w:val="restart"/>
            <w:vAlign w:val="center"/>
          </w:tcPr>
          <w:p>
            <w:pPr>
              <w:widowControl/>
              <w:jc w:val="right"/>
              <w:textAlignment w:val="center"/>
              <w:rPr>
                <w:rFonts w:ascii="仿宋" w:hAnsi="仿宋" w:eastAsia="仿宋" w:cs="宋体"/>
                <w:szCs w:val="21"/>
              </w:rPr>
            </w:pPr>
            <w:r>
              <w:rPr>
                <w:rFonts w:hint="eastAsia" w:ascii="仿宋" w:hAnsi="仿宋" w:eastAsia="仿宋" w:cs="宋体"/>
                <w:szCs w:val="21"/>
              </w:rPr>
              <w:t>16</w:t>
            </w:r>
          </w:p>
        </w:tc>
        <w:tc>
          <w:tcPr>
            <w:tcW w:w="1160" w:type="pct"/>
            <w:vMerge w:val="restart"/>
            <w:vAlign w:val="center"/>
          </w:tcPr>
          <w:p>
            <w:pPr>
              <w:jc w:val="center"/>
              <w:rPr>
                <w:rFonts w:ascii="仿宋" w:hAnsi="仿宋" w:eastAsia="仿宋" w:cs="宋体"/>
                <w:szCs w:val="21"/>
              </w:rPr>
            </w:pPr>
            <w:r>
              <w:rPr>
                <w:rFonts w:hint="eastAsia" w:ascii="仿宋" w:hAnsi="仿宋" w:eastAsia="仿宋" w:cs="宋体"/>
                <w:szCs w:val="21"/>
              </w:rPr>
              <w:t>非道路移动机械治理项目</w:t>
            </w:r>
          </w:p>
        </w:tc>
        <w:tc>
          <w:tcPr>
            <w:tcW w:w="1706" w:type="pct"/>
            <w:vAlign w:val="center"/>
          </w:tcPr>
          <w:p>
            <w:pPr>
              <w:jc w:val="center"/>
              <w:rPr>
                <w:rFonts w:ascii="仿宋" w:hAnsi="仿宋" w:eastAsia="仿宋" w:cs="宋体"/>
                <w:szCs w:val="21"/>
              </w:rPr>
            </w:pPr>
            <w:r>
              <w:rPr>
                <w:rFonts w:hint="eastAsia" w:ascii="仿宋" w:hAnsi="仿宋" w:eastAsia="仿宋" w:cs="宋体"/>
                <w:szCs w:val="21"/>
              </w:rPr>
              <w:t>非道路移动机械淘汰项目</w:t>
            </w:r>
          </w:p>
        </w:tc>
        <w:tc>
          <w:tcPr>
            <w:tcW w:w="452" w:type="pct"/>
            <w:noWrap/>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noWrap/>
          </w:tcPr>
          <w:p>
            <w:pPr>
              <w:jc w:val="center"/>
              <w:rPr>
                <w:rFonts w:ascii="仿宋" w:hAnsi="仿宋" w:eastAsia="仿宋" w:cs="宋体"/>
                <w:szCs w:val="21"/>
              </w:rPr>
            </w:pPr>
            <w:r>
              <w:rPr>
                <w:rFonts w:hint="eastAsia" w:ascii="仿宋" w:hAnsi="仿宋" w:eastAsia="仿宋" w:cs="宋体"/>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7" w:type="pct"/>
            <w:vMerge w:val="continue"/>
            <w:vAlign w:val="center"/>
          </w:tcPr>
          <w:p>
            <w:pPr>
              <w:jc w:val="center"/>
              <w:rPr>
                <w:rFonts w:ascii="仿宋" w:hAnsi="仿宋" w:eastAsia="仿宋" w:cs="宋体"/>
                <w:szCs w:val="21"/>
              </w:rPr>
            </w:pPr>
          </w:p>
        </w:tc>
        <w:tc>
          <w:tcPr>
            <w:tcW w:w="598" w:type="pct"/>
            <w:vMerge w:val="continue"/>
            <w:vAlign w:val="center"/>
          </w:tcPr>
          <w:p>
            <w:pPr>
              <w:jc w:val="center"/>
              <w:rPr>
                <w:rFonts w:ascii="仿宋" w:hAnsi="仿宋" w:eastAsia="仿宋" w:cs="宋体"/>
                <w:szCs w:val="21"/>
              </w:rPr>
            </w:pPr>
          </w:p>
        </w:tc>
        <w:tc>
          <w:tcPr>
            <w:tcW w:w="177" w:type="pct"/>
            <w:vMerge w:val="continue"/>
            <w:vAlign w:val="center"/>
          </w:tcPr>
          <w:p>
            <w:pPr>
              <w:jc w:val="center"/>
              <w:rPr>
                <w:rFonts w:ascii="仿宋" w:hAnsi="仿宋" w:eastAsia="仿宋" w:cs="宋体"/>
                <w:szCs w:val="21"/>
              </w:rPr>
            </w:pPr>
          </w:p>
        </w:tc>
        <w:tc>
          <w:tcPr>
            <w:tcW w:w="1160" w:type="pct"/>
            <w:vMerge w:val="continue"/>
            <w:vAlign w:val="center"/>
          </w:tcPr>
          <w:p>
            <w:pPr>
              <w:jc w:val="center"/>
              <w:rPr>
                <w:rFonts w:ascii="仿宋" w:hAnsi="仿宋" w:eastAsia="仿宋" w:cs="宋体"/>
                <w:szCs w:val="21"/>
              </w:rPr>
            </w:pPr>
          </w:p>
        </w:tc>
        <w:tc>
          <w:tcPr>
            <w:tcW w:w="1706" w:type="pct"/>
            <w:vAlign w:val="center"/>
          </w:tcPr>
          <w:p>
            <w:pPr>
              <w:jc w:val="center"/>
              <w:rPr>
                <w:rFonts w:ascii="仿宋" w:hAnsi="仿宋" w:eastAsia="仿宋" w:cs="宋体"/>
                <w:szCs w:val="21"/>
              </w:rPr>
            </w:pPr>
            <w:r>
              <w:rPr>
                <w:rFonts w:hint="eastAsia" w:ascii="仿宋" w:hAnsi="仿宋" w:eastAsia="仿宋" w:cs="宋体"/>
                <w:szCs w:val="21"/>
              </w:rPr>
              <w:t>非道路移动机械DPF和SCR改造项目</w:t>
            </w:r>
          </w:p>
        </w:tc>
        <w:tc>
          <w:tcPr>
            <w:tcW w:w="452" w:type="pct"/>
            <w:noWrap/>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noWrap/>
          </w:tcPr>
          <w:p>
            <w:pPr>
              <w:jc w:val="center"/>
              <w:rPr>
                <w:rFonts w:ascii="仿宋" w:hAnsi="仿宋" w:eastAsia="仿宋" w:cs="宋体"/>
                <w:szCs w:val="21"/>
              </w:rPr>
            </w:pPr>
            <w:r>
              <w:rPr>
                <w:rFonts w:hint="eastAsia" w:ascii="仿宋" w:hAnsi="仿宋" w:eastAsia="仿宋" w:cs="宋体"/>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7" w:type="pct"/>
            <w:vMerge w:val="restart"/>
            <w:vAlign w:val="center"/>
          </w:tcPr>
          <w:p>
            <w:pPr>
              <w:jc w:val="center"/>
              <w:rPr>
                <w:rFonts w:ascii="仿宋" w:hAnsi="仿宋" w:eastAsia="仿宋" w:cs="宋体"/>
                <w:szCs w:val="21"/>
              </w:rPr>
            </w:pPr>
            <w:r>
              <w:rPr>
                <w:rFonts w:hint="eastAsia" w:ascii="仿宋" w:hAnsi="仿宋" w:eastAsia="仿宋" w:cs="宋体"/>
                <w:szCs w:val="21"/>
              </w:rPr>
              <w:t>土地结构 调整</w:t>
            </w:r>
          </w:p>
        </w:tc>
        <w:tc>
          <w:tcPr>
            <w:tcW w:w="598" w:type="pct"/>
            <w:vMerge w:val="restart"/>
            <w:vAlign w:val="center"/>
          </w:tcPr>
          <w:p>
            <w:pPr>
              <w:jc w:val="center"/>
              <w:rPr>
                <w:rFonts w:ascii="仿宋" w:hAnsi="仿宋" w:eastAsia="仿宋" w:cs="宋体"/>
                <w:szCs w:val="21"/>
              </w:rPr>
            </w:pPr>
            <w:r>
              <w:rPr>
                <w:rFonts w:hint="eastAsia" w:ascii="仿宋" w:hAnsi="仿宋" w:eastAsia="仿宋" w:cs="宋体"/>
                <w:szCs w:val="21"/>
              </w:rPr>
              <w:t>扬尘精细化管控项目</w:t>
            </w:r>
          </w:p>
        </w:tc>
        <w:tc>
          <w:tcPr>
            <w:tcW w:w="177" w:type="pct"/>
            <w:vAlign w:val="center"/>
          </w:tcPr>
          <w:p>
            <w:pPr>
              <w:widowControl/>
              <w:jc w:val="right"/>
              <w:textAlignment w:val="center"/>
              <w:rPr>
                <w:rFonts w:ascii="仿宋" w:hAnsi="仿宋" w:eastAsia="仿宋" w:cs="宋体"/>
                <w:szCs w:val="21"/>
              </w:rPr>
            </w:pPr>
            <w:r>
              <w:rPr>
                <w:rFonts w:hint="eastAsia" w:ascii="仿宋" w:hAnsi="仿宋" w:eastAsia="仿宋" w:cs="宋体"/>
                <w:szCs w:val="21"/>
              </w:rPr>
              <w:t>18</w:t>
            </w:r>
          </w:p>
        </w:tc>
        <w:tc>
          <w:tcPr>
            <w:tcW w:w="1160" w:type="pct"/>
            <w:vAlign w:val="center"/>
          </w:tcPr>
          <w:p>
            <w:pPr>
              <w:jc w:val="center"/>
              <w:rPr>
                <w:rFonts w:ascii="仿宋" w:hAnsi="仿宋" w:eastAsia="仿宋" w:cs="宋体"/>
                <w:szCs w:val="21"/>
              </w:rPr>
            </w:pPr>
            <w:r>
              <w:rPr>
                <w:rFonts w:hint="eastAsia" w:ascii="仿宋" w:hAnsi="仿宋" w:eastAsia="仿宋" w:cs="宋体"/>
                <w:szCs w:val="21"/>
              </w:rPr>
              <w:t>国土绿化项目</w:t>
            </w:r>
          </w:p>
        </w:tc>
        <w:tc>
          <w:tcPr>
            <w:tcW w:w="1706" w:type="pct"/>
            <w:vAlign w:val="center"/>
          </w:tcPr>
          <w:p>
            <w:pPr>
              <w:jc w:val="center"/>
              <w:rPr>
                <w:rFonts w:ascii="仿宋" w:hAnsi="仿宋" w:eastAsia="仿宋" w:cs="宋体"/>
                <w:szCs w:val="21"/>
              </w:rPr>
            </w:pPr>
            <w:r>
              <w:rPr>
                <w:rFonts w:hint="eastAsia" w:ascii="仿宋" w:hAnsi="仿宋" w:eastAsia="仿宋" w:cs="宋体"/>
                <w:szCs w:val="21"/>
              </w:rPr>
              <w:t>重点区域森林草地种植</w:t>
            </w:r>
          </w:p>
        </w:tc>
        <w:tc>
          <w:tcPr>
            <w:tcW w:w="452" w:type="pct"/>
            <w:noWrap/>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noWrap/>
            <w:vAlign w:val="center"/>
          </w:tcPr>
          <w:p>
            <w:pPr>
              <w:jc w:val="center"/>
              <w:rPr>
                <w:rFonts w:ascii="仿宋" w:hAnsi="仿宋" w:eastAsia="仿宋" w:cs="宋体"/>
                <w:szCs w:val="21"/>
              </w:rPr>
            </w:pPr>
            <w:r>
              <w:rPr>
                <w:rFonts w:hint="eastAsia" w:ascii="仿宋" w:hAnsi="仿宋" w:eastAsia="仿宋" w:cs="宋体"/>
                <w:szCs w:val="21"/>
              </w:rPr>
              <w:t>市林业和园林局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47" w:type="pct"/>
            <w:vMerge w:val="continue"/>
            <w:vAlign w:val="center"/>
          </w:tcPr>
          <w:p>
            <w:pPr>
              <w:jc w:val="center"/>
              <w:rPr>
                <w:rFonts w:ascii="仿宋" w:hAnsi="仿宋" w:eastAsia="仿宋" w:cs="宋体"/>
                <w:szCs w:val="21"/>
              </w:rPr>
            </w:pPr>
          </w:p>
        </w:tc>
        <w:tc>
          <w:tcPr>
            <w:tcW w:w="598" w:type="pct"/>
            <w:vMerge w:val="continue"/>
            <w:vAlign w:val="center"/>
          </w:tcPr>
          <w:p>
            <w:pPr>
              <w:jc w:val="center"/>
              <w:rPr>
                <w:rFonts w:ascii="仿宋" w:hAnsi="仿宋" w:eastAsia="仿宋" w:cs="宋体"/>
                <w:szCs w:val="21"/>
              </w:rPr>
            </w:pPr>
          </w:p>
        </w:tc>
        <w:tc>
          <w:tcPr>
            <w:tcW w:w="177" w:type="pct"/>
            <w:vAlign w:val="center"/>
          </w:tcPr>
          <w:p>
            <w:pPr>
              <w:widowControl/>
              <w:jc w:val="right"/>
              <w:textAlignment w:val="center"/>
              <w:rPr>
                <w:rFonts w:ascii="仿宋" w:hAnsi="仿宋" w:eastAsia="仿宋" w:cs="宋体"/>
                <w:szCs w:val="21"/>
              </w:rPr>
            </w:pPr>
            <w:r>
              <w:rPr>
                <w:rFonts w:hint="eastAsia" w:ascii="仿宋" w:hAnsi="仿宋" w:eastAsia="仿宋" w:cs="宋体"/>
                <w:kern w:val="0"/>
                <w:sz w:val="22"/>
                <w:szCs w:val="22"/>
              </w:rPr>
              <w:t>19</w:t>
            </w:r>
          </w:p>
        </w:tc>
        <w:tc>
          <w:tcPr>
            <w:tcW w:w="1160" w:type="pct"/>
            <w:vMerge w:val="restart"/>
            <w:vAlign w:val="center"/>
          </w:tcPr>
          <w:p>
            <w:pPr>
              <w:jc w:val="center"/>
              <w:rPr>
                <w:rFonts w:ascii="仿宋" w:hAnsi="仿宋" w:eastAsia="仿宋" w:cs="宋体"/>
                <w:szCs w:val="21"/>
              </w:rPr>
            </w:pPr>
            <w:r>
              <w:rPr>
                <w:rFonts w:hint="eastAsia" w:ascii="仿宋" w:hAnsi="仿宋" w:eastAsia="仿宋" w:cs="宋体"/>
                <w:szCs w:val="21"/>
              </w:rPr>
              <w:t>道路扬尘治理项目</w:t>
            </w:r>
          </w:p>
        </w:tc>
        <w:tc>
          <w:tcPr>
            <w:tcW w:w="1706" w:type="pct"/>
            <w:vAlign w:val="center"/>
          </w:tcPr>
          <w:p>
            <w:pPr>
              <w:jc w:val="center"/>
              <w:rPr>
                <w:rFonts w:ascii="仿宋" w:hAnsi="仿宋" w:eastAsia="仿宋" w:cs="宋体"/>
                <w:szCs w:val="21"/>
              </w:rPr>
            </w:pPr>
            <w:r>
              <w:rPr>
                <w:rFonts w:hint="eastAsia" w:ascii="仿宋" w:hAnsi="仿宋" w:eastAsia="仿宋" w:cs="宋体"/>
                <w:szCs w:val="21"/>
              </w:rPr>
              <w:t>运输（渣土、煤炭、砂石、土方、灰浆等散装、流体物料）易产生扬尘的车辆安装GPS系统项目</w:t>
            </w:r>
          </w:p>
        </w:tc>
        <w:tc>
          <w:tcPr>
            <w:tcW w:w="452" w:type="pct"/>
            <w:noWrap/>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noWrap/>
            <w:vAlign w:val="center"/>
          </w:tcPr>
          <w:p>
            <w:pPr>
              <w:jc w:val="center"/>
              <w:rPr>
                <w:rFonts w:ascii="仿宋" w:hAnsi="仿宋" w:eastAsia="仿宋" w:cs="宋体"/>
                <w:szCs w:val="21"/>
              </w:rPr>
            </w:pPr>
            <w:r>
              <w:rPr>
                <w:rFonts w:hint="eastAsia" w:ascii="仿宋" w:hAnsi="仿宋" w:eastAsia="仿宋" w:cs="宋体"/>
                <w:szCs w:val="21"/>
              </w:rPr>
              <w:t>市建委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7" w:type="pct"/>
            <w:vMerge w:val="continue"/>
            <w:vAlign w:val="center"/>
          </w:tcPr>
          <w:p>
            <w:pPr>
              <w:jc w:val="center"/>
              <w:rPr>
                <w:rFonts w:ascii="仿宋" w:hAnsi="仿宋" w:eastAsia="仿宋" w:cs="宋体"/>
                <w:szCs w:val="21"/>
              </w:rPr>
            </w:pPr>
          </w:p>
        </w:tc>
        <w:tc>
          <w:tcPr>
            <w:tcW w:w="598" w:type="pct"/>
            <w:vMerge w:val="continue"/>
            <w:vAlign w:val="center"/>
          </w:tcPr>
          <w:p>
            <w:pPr>
              <w:jc w:val="center"/>
              <w:rPr>
                <w:rFonts w:ascii="仿宋" w:hAnsi="仿宋" w:eastAsia="仿宋" w:cs="宋体"/>
                <w:szCs w:val="21"/>
              </w:rPr>
            </w:pPr>
          </w:p>
        </w:tc>
        <w:tc>
          <w:tcPr>
            <w:tcW w:w="177" w:type="pct"/>
            <w:vAlign w:val="center"/>
          </w:tcPr>
          <w:p>
            <w:pPr>
              <w:widowControl/>
              <w:jc w:val="right"/>
              <w:textAlignment w:val="center"/>
              <w:rPr>
                <w:rFonts w:ascii="仿宋" w:hAnsi="仿宋" w:eastAsia="仿宋" w:cs="宋体"/>
                <w:szCs w:val="21"/>
              </w:rPr>
            </w:pPr>
            <w:r>
              <w:rPr>
                <w:rFonts w:hint="eastAsia" w:ascii="仿宋" w:hAnsi="仿宋" w:eastAsia="仿宋" w:cs="宋体"/>
                <w:kern w:val="0"/>
                <w:sz w:val="22"/>
                <w:szCs w:val="22"/>
              </w:rPr>
              <w:t>20</w:t>
            </w:r>
          </w:p>
        </w:tc>
        <w:tc>
          <w:tcPr>
            <w:tcW w:w="1160" w:type="pct"/>
            <w:vMerge w:val="continue"/>
            <w:vAlign w:val="center"/>
          </w:tcPr>
          <w:p>
            <w:pPr>
              <w:jc w:val="center"/>
              <w:rPr>
                <w:rFonts w:ascii="仿宋" w:hAnsi="仿宋" w:eastAsia="仿宋" w:cs="宋体"/>
                <w:szCs w:val="21"/>
              </w:rPr>
            </w:pPr>
          </w:p>
        </w:tc>
        <w:tc>
          <w:tcPr>
            <w:tcW w:w="1706" w:type="pct"/>
            <w:vAlign w:val="center"/>
          </w:tcPr>
          <w:p>
            <w:pPr>
              <w:jc w:val="center"/>
              <w:rPr>
                <w:rFonts w:ascii="仿宋" w:hAnsi="仿宋" w:eastAsia="仿宋" w:cs="宋体"/>
                <w:szCs w:val="21"/>
              </w:rPr>
            </w:pPr>
            <w:r>
              <w:rPr>
                <w:rFonts w:hint="eastAsia" w:ascii="仿宋" w:hAnsi="仿宋" w:eastAsia="仿宋" w:cs="宋体"/>
                <w:szCs w:val="21"/>
              </w:rPr>
              <w:t>持续推进道路清扫保洁机械化作业，机械化清扫率比例维持100%</w:t>
            </w:r>
          </w:p>
        </w:tc>
        <w:tc>
          <w:tcPr>
            <w:tcW w:w="452" w:type="pct"/>
            <w:noWrap/>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noWrap/>
            <w:vAlign w:val="center"/>
          </w:tcPr>
          <w:p>
            <w:pPr>
              <w:jc w:val="center"/>
              <w:rPr>
                <w:rFonts w:ascii="仿宋" w:hAnsi="仿宋" w:eastAsia="仿宋" w:cs="宋体"/>
                <w:szCs w:val="21"/>
              </w:rPr>
            </w:pPr>
            <w:r>
              <w:rPr>
                <w:rFonts w:hint="eastAsia" w:ascii="仿宋" w:hAnsi="仿宋" w:eastAsia="仿宋" w:cs="宋体"/>
                <w:szCs w:val="21"/>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7" w:type="pct"/>
            <w:vMerge w:val="continue"/>
            <w:vAlign w:val="center"/>
          </w:tcPr>
          <w:p>
            <w:pPr>
              <w:jc w:val="center"/>
              <w:rPr>
                <w:rFonts w:ascii="仿宋" w:hAnsi="仿宋" w:eastAsia="仿宋" w:cs="宋体"/>
                <w:szCs w:val="21"/>
              </w:rPr>
            </w:pPr>
          </w:p>
        </w:tc>
        <w:tc>
          <w:tcPr>
            <w:tcW w:w="598" w:type="pct"/>
            <w:vMerge w:val="continue"/>
            <w:vAlign w:val="center"/>
          </w:tcPr>
          <w:p>
            <w:pPr>
              <w:jc w:val="center"/>
              <w:rPr>
                <w:rFonts w:ascii="仿宋" w:hAnsi="仿宋" w:eastAsia="仿宋" w:cs="宋体"/>
                <w:szCs w:val="21"/>
              </w:rPr>
            </w:pPr>
          </w:p>
        </w:tc>
        <w:tc>
          <w:tcPr>
            <w:tcW w:w="177" w:type="pct"/>
            <w:vAlign w:val="center"/>
          </w:tcPr>
          <w:p>
            <w:pPr>
              <w:widowControl/>
              <w:jc w:val="right"/>
              <w:textAlignment w:val="center"/>
              <w:rPr>
                <w:rFonts w:ascii="仿宋" w:hAnsi="仿宋" w:eastAsia="仿宋" w:cs="宋体"/>
                <w:szCs w:val="21"/>
              </w:rPr>
            </w:pPr>
            <w:r>
              <w:rPr>
                <w:rFonts w:hint="eastAsia" w:ascii="仿宋" w:hAnsi="仿宋" w:eastAsia="仿宋" w:cs="宋体"/>
                <w:kern w:val="0"/>
                <w:sz w:val="22"/>
                <w:szCs w:val="22"/>
              </w:rPr>
              <w:t>21</w:t>
            </w:r>
          </w:p>
        </w:tc>
        <w:tc>
          <w:tcPr>
            <w:tcW w:w="1160" w:type="pct"/>
            <w:vMerge w:val="restart"/>
            <w:vAlign w:val="center"/>
          </w:tcPr>
          <w:p>
            <w:pPr>
              <w:jc w:val="center"/>
              <w:rPr>
                <w:rFonts w:ascii="仿宋" w:hAnsi="仿宋" w:eastAsia="仿宋" w:cs="宋体"/>
                <w:szCs w:val="21"/>
              </w:rPr>
            </w:pPr>
            <w:r>
              <w:rPr>
                <w:rFonts w:hint="eastAsia" w:ascii="仿宋" w:hAnsi="仿宋" w:eastAsia="仿宋" w:cs="宋体"/>
                <w:szCs w:val="21"/>
              </w:rPr>
              <w:t>施工扬尘治理专项</w:t>
            </w:r>
          </w:p>
        </w:tc>
        <w:tc>
          <w:tcPr>
            <w:tcW w:w="1706" w:type="pct"/>
            <w:vAlign w:val="center"/>
          </w:tcPr>
          <w:p>
            <w:pPr>
              <w:jc w:val="center"/>
              <w:rPr>
                <w:rFonts w:ascii="仿宋" w:hAnsi="仿宋" w:eastAsia="仿宋" w:cs="宋体"/>
                <w:szCs w:val="21"/>
              </w:rPr>
            </w:pPr>
            <w:r>
              <w:rPr>
                <w:rFonts w:hint="eastAsia" w:ascii="仿宋" w:hAnsi="仿宋" w:eastAsia="仿宋" w:cs="宋体"/>
                <w:szCs w:val="21"/>
              </w:rPr>
              <w:t>重点行业、环境敏感区域堆料场加装视频监控与PM</w:t>
            </w:r>
            <w:r>
              <w:rPr>
                <w:rFonts w:hint="eastAsia" w:ascii="仿宋" w:hAnsi="仿宋" w:eastAsia="仿宋" w:cs="宋体"/>
                <w:szCs w:val="21"/>
                <w:vertAlign w:val="subscript"/>
              </w:rPr>
              <w:t>10</w:t>
            </w:r>
            <w:r>
              <w:rPr>
                <w:rFonts w:hint="eastAsia" w:ascii="仿宋" w:hAnsi="仿宋" w:eastAsia="仿宋" w:cs="宋体"/>
                <w:szCs w:val="21"/>
              </w:rPr>
              <w:t>在线监测设备</w:t>
            </w:r>
          </w:p>
        </w:tc>
        <w:tc>
          <w:tcPr>
            <w:tcW w:w="452" w:type="pct"/>
            <w:noWrap/>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noWrap/>
            <w:vAlign w:val="center"/>
          </w:tcPr>
          <w:p>
            <w:pPr>
              <w:jc w:val="center"/>
              <w:rPr>
                <w:rFonts w:ascii="仿宋" w:hAnsi="仿宋" w:eastAsia="仿宋" w:cs="宋体"/>
                <w:szCs w:val="21"/>
              </w:rPr>
            </w:pPr>
            <w:r>
              <w:rPr>
                <w:rFonts w:hint="eastAsia" w:ascii="仿宋" w:hAnsi="仿宋" w:eastAsia="仿宋" w:cs="宋体"/>
                <w:szCs w:val="21"/>
              </w:rPr>
              <w:t>市建委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7" w:type="pct"/>
            <w:vMerge w:val="continue"/>
            <w:vAlign w:val="center"/>
          </w:tcPr>
          <w:p>
            <w:pPr>
              <w:jc w:val="center"/>
              <w:rPr>
                <w:rFonts w:ascii="仿宋" w:hAnsi="仿宋" w:eastAsia="仿宋" w:cs="宋体"/>
                <w:szCs w:val="21"/>
              </w:rPr>
            </w:pPr>
          </w:p>
        </w:tc>
        <w:tc>
          <w:tcPr>
            <w:tcW w:w="598" w:type="pct"/>
            <w:vMerge w:val="continue"/>
            <w:vAlign w:val="center"/>
          </w:tcPr>
          <w:p>
            <w:pPr>
              <w:jc w:val="center"/>
              <w:rPr>
                <w:rFonts w:ascii="仿宋" w:hAnsi="仿宋" w:eastAsia="仿宋" w:cs="宋体"/>
                <w:szCs w:val="21"/>
              </w:rPr>
            </w:pPr>
          </w:p>
        </w:tc>
        <w:tc>
          <w:tcPr>
            <w:tcW w:w="177" w:type="pct"/>
            <w:vAlign w:val="center"/>
          </w:tcPr>
          <w:p>
            <w:pPr>
              <w:widowControl/>
              <w:jc w:val="right"/>
              <w:textAlignment w:val="center"/>
              <w:rPr>
                <w:rFonts w:ascii="仿宋" w:hAnsi="仿宋" w:eastAsia="仿宋" w:cs="宋体"/>
                <w:szCs w:val="21"/>
              </w:rPr>
            </w:pPr>
            <w:r>
              <w:rPr>
                <w:rFonts w:hint="eastAsia" w:ascii="仿宋" w:hAnsi="仿宋" w:eastAsia="仿宋" w:cs="宋体"/>
                <w:kern w:val="0"/>
                <w:sz w:val="22"/>
                <w:szCs w:val="22"/>
              </w:rPr>
              <w:t>22</w:t>
            </w:r>
          </w:p>
        </w:tc>
        <w:tc>
          <w:tcPr>
            <w:tcW w:w="1160" w:type="pct"/>
            <w:vMerge w:val="continue"/>
            <w:vAlign w:val="center"/>
          </w:tcPr>
          <w:p>
            <w:pPr>
              <w:jc w:val="center"/>
              <w:rPr>
                <w:rFonts w:ascii="仿宋" w:hAnsi="仿宋" w:eastAsia="仿宋" w:cs="宋体"/>
                <w:szCs w:val="21"/>
              </w:rPr>
            </w:pPr>
          </w:p>
        </w:tc>
        <w:tc>
          <w:tcPr>
            <w:tcW w:w="1706" w:type="pct"/>
            <w:vAlign w:val="center"/>
          </w:tcPr>
          <w:p>
            <w:pPr>
              <w:jc w:val="center"/>
              <w:rPr>
                <w:rFonts w:ascii="仿宋" w:hAnsi="仿宋" w:eastAsia="仿宋" w:cs="宋体"/>
                <w:szCs w:val="21"/>
              </w:rPr>
            </w:pPr>
            <w:r>
              <w:rPr>
                <w:rFonts w:hint="eastAsia" w:ascii="仿宋" w:hAnsi="仿宋" w:eastAsia="仿宋" w:cs="宋体"/>
                <w:szCs w:val="21"/>
              </w:rPr>
              <w:t>颗粒物、噪声在线监测和远程视频监控平台建设</w:t>
            </w:r>
          </w:p>
        </w:tc>
        <w:tc>
          <w:tcPr>
            <w:tcW w:w="452" w:type="pct"/>
            <w:noWrap/>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noWrap/>
            <w:vAlign w:val="center"/>
          </w:tcPr>
          <w:p>
            <w:pPr>
              <w:jc w:val="center"/>
              <w:rPr>
                <w:rFonts w:ascii="仿宋" w:hAnsi="仿宋" w:eastAsia="仿宋" w:cs="宋体"/>
                <w:szCs w:val="21"/>
              </w:rPr>
            </w:pPr>
            <w:r>
              <w:rPr>
                <w:rFonts w:hint="eastAsia" w:ascii="仿宋" w:hAnsi="仿宋" w:eastAsia="仿宋" w:cs="宋体"/>
                <w:szCs w:val="21"/>
              </w:rPr>
              <w:t>市建委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7" w:type="pct"/>
            <w:vMerge w:val="continue"/>
            <w:vAlign w:val="center"/>
          </w:tcPr>
          <w:p>
            <w:pPr>
              <w:jc w:val="center"/>
              <w:rPr>
                <w:rFonts w:ascii="仿宋" w:hAnsi="仿宋" w:eastAsia="仿宋" w:cs="宋体"/>
                <w:szCs w:val="21"/>
              </w:rPr>
            </w:pPr>
          </w:p>
        </w:tc>
        <w:tc>
          <w:tcPr>
            <w:tcW w:w="598" w:type="pct"/>
            <w:vMerge w:val="restart"/>
            <w:vAlign w:val="center"/>
          </w:tcPr>
          <w:p>
            <w:pPr>
              <w:jc w:val="center"/>
              <w:rPr>
                <w:rFonts w:ascii="仿宋" w:hAnsi="仿宋" w:eastAsia="仿宋" w:cs="宋体"/>
                <w:szCs w:val="21"/>
              </w:rPr>
            </w:pPr>
            <w:r>
              <w:rPr>
                <w:rFonts w:hint="eastAsia" w:ascii="仿宋" w:hAnsi="仿宋" w:eastAsia="仿宋" w:cs="宋体"/>
                <w:szCs w:val="21"/>
              </w:rPr>
              <w:t>餐饮油烟治理项目</w:t>
            </w:r>
          </w:p>
        </w:tc>
        <w:tc>
          <w:tcPr>
            <w:tcW w:w="177" w:type="pct"/>
            <w:vAlign w:val="center"/>
          </w:tcPr>
          <w:p>
            <w:pPr>
              <w:widowControl/>
              <w:jc w:val="right"/>
              <w:textAlignment w:val="center"/>
              <w:rPr>
                <w:rFonts w:ascii="仿宋" w:hAnsi="仿宋" w:eastAsia="仿宋" w:cs="宋体"/>
                <w:szCs w:val="21"/>
              </w:rPr>
            </w:pPr>
            <w:r>
              <w:rPr>
                <w:rFonts w:hint="eastAsia" w:ascii="仿宋" w:hAnsi="仿宋" w:eastAsia="仿宋" w:cs="宋体"/>
                <w:kern w:val="0"/>
                <w:sz w:val="22"/>
                <w:szCs w:val="22"/>
              </w:rPr>
              <w:t>23</w:t>
            </w:r>
          </w:p>
        </w:tc>
        <w:tc>
          <w:tcPr>
            <w:tcW w:w="1160" w:type="pct"/>
            <w:vMerge w:val="restart"/>
            <w:vAlign w:val="center"/>
          </w:tcPr>
          <w:p>
            <w:pPr>
              <w:jc w:val="center"/>
              <w:rPr>
                <w:rFonts w:ascii="仿宋" w:hAnsi="仿宋" w:eastAsia="仿宋" w:cs="宋体"/>
                <w:szCs w:val="21"/>
              </w:rPr>
            </w:pPr>
            <w:r>
              <w:rPr>
                <w:rFonts w:hint="eastAsia" w:ascii="仿宋" w:hAnsi="仿宋" w:eastAsia="仿宋" w:cs="宋体"/>
                <w:szCs w:val="21"/>
              </w:rPr>
              <w:t>餐饮油烟监管项目</w:t>
            </w:r>
          </w:p>
        </w:tc>
        <w:tc>
          <w:tcPr>
            <w:tcW w:w="1706" w:type="pct"/>
            <w:vAlign w:val="center"/>
          </w:tcPr>
          <w:p>
            <w:pPr>
              <w:jc w:val="center"/>
              <w:rPr>
                <w:rFonts w:ascii="仿宋" w:hAnsi="仿宋" w:eastAsia="仿宋" w:cs="宋体"/>
                <w:szCs w:val="21"/>
              </w:rPr>
            </w:pPr>
            <w:r>
              <w:rPr>
                <w:rFonts w:hint="eastAsia" w:ascii="仿宋" w:hAnsi="仿宋" w:eastAsia="仿宋" w:cs="宋体"/>
                <w:szCs w:val="21"/>
              </w:rPr>
              <w:t>按装油烟净化器浓度监测设备</w:t>
            </w:r>
          </w:p>
        </w:tc>
        <w:tc>
          <w:tcPr>
            <w:tcW w:w="452" w:type="pct"/>
            <w:noWrap/>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noWrap/>
            <w:vAlign w:val="center"/>
          </w:tcPr>
          <w:p>
            <w:pPr>
              <w:jc w:val="center"/>
              <w:rPr>
                <w:rFonts w:ascii="仿宋" w:hAnsi="仿宋" w:eastAsia="仿宋" w:cs="宋体"/>
                <w:szCs w:val="21"/>
              </w:rPr>
            </w:pPr>
            <w:r>
              <w:rPr>
                <w:rFonts w:hint="eastAsia" w:ascii="仿宋" w:hAnsi="仿宋" w:eastAsia="仿宋" w:cs="宋体"/>
                <w:szCs w:val="21"/>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7" w:type="pct"/>
            <w:vMerge w:val="continue"/>
            <w:vAlign w:val="center"/>
          </w:tcPr>
          <w:p>
            <w:pPr>
              <w:jc w:val="center"/>
              <w:rPr>
                <w:rFonts w:ascii="仿宋" w:hAnsi="仿宋" w:eastAsia="仿宋" w:cs="宋体"/>
                <w:szCs w:val="21"/>
              </w:rPr>
            </w:pPr>
          </w:p>
        </w:tc>
        <w:tc>
          <w:tcPr>
            <w:tcW w:w="598" w:type="pct"/>
            <w:vMerge w:val="continue"/>
            <w:vAlign w:val="center"/>
          </w:tcPr>
          <w:p>
            <w:pPr>
              <w:jc w:val="center"/>
              <w:rPr>
                <w:rFonts w:ascii="仿宋" w:hAnsi="仿宋" w:eastAsia="仿宋" w:cs="宋体"/>
                <w:szCs w:val="21"/>
              </w:rPr>
            </w:pPr>
          </w:p>
        </w:tc>
        <w:tc>
          <w:tcPr>
            <w:tcW w:w="177" w:type="pct"/>
            <w:vAlign w:val="center"/>
          </w:tcPr>
          <w:p>
            <w:pPr>
              <w:widowControl/>
              <w:jc w:val="right"/>
              <w:textAlignment w:val="center"/>
              <w:rPr>
                <w:rFonts w:ascii="仿宋" w:hAnsi="仿宋" w:eastAsia="仿宋" w:cs="宋体"/>
                <w:szCs w:val="21"/>
              </w:rPr>
            </w:pPr>
            <w:r>
              <w:rPr>
                <w:rFonts w:hint="eastAsia" w:ascii="仿宋" w:hAnsi="仿宋" w:eastAsia="仿宋" w:cs="宋体"/>
                <w:kern w:val="0"/>
                <w:sz w:val="22"/>
                <w:szCs w:val="22"/>
              </w:rPr>
              <w:t>24</w:t>
            </w:r>
          </w:p>
        </w:tc>
        <w:tc>
          <w:tcPr>
            <w:tcW w:w="1160" w:type="pct"/>
            <w:vMerge w:val="continue"/>
            <w:vAlign w:val="center"/>
          </w:tcPr>
          <w:p>
            <w:pPr>
              <w:jc w:val="center"/>
              <w:rPr>
                <w:rFonts w:ascii="仿宋" w:hAnsi="仿宋" w:eastAsia="仿宋" w:cs="宋体"/>
                <w:szCs w:val="21"/>
              </w:rPr>
            </w:pPr>
          </w:p>
        </w:tc>
        <w:tc>
          <w:tcPr>
            <w:tcW w:w="1706" w:type="pct"/>
            <w:vAlign w:val="center"/>
          </w:tcPr>
          <w:p>
            <w:pPr>
              <w:jc w:val="center"/>
              <w:rPr>
                <w:rFonts w:ascii="仿宋" w:hAnsi="仿宋" w:eastAsia="仿宋" w:cs="宋体"/>
                <w:szCs w:val="21"/>
              </w:rPr>
            </w:pPr>
            <w:r>
              <w:rPr>
                <w:rFonts w:hint="eastAsia" w:ascii="仿宋" w:hAnsi="仿宋" w:eastAsia="仿宋" w:cs="宋体"/>
                <w:szCs w:val="21"/>
              </w:rPr>
              <w:t>油烟净化器在线监测系统平台建设</w:t>
            </w:r>
          </w:p>
        </w:tc>
        <w:tc>
          <w:tcPr>
            <w:tcW w:w="452" w:type="pct"/>
            <w:noWrap/>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noWrap/>
            <w:vAlign w:val="center"/>
          </w:tcPr>
          <w:p>
            <w:pPr>
              <w:jc w:val="center"/>
              <w:rPr>
                <w:rFonts w:ascii="仿宋" w:hAnsi="仿宋" w:eastAsia="仿宋" w:cs="宋体"/>
                <w:szCs w:val="21"/>
              </w:rPr>
            </w:pPr>
            <w:r>
              <w:rPr>
                <w:rFonts w:hint="eastAsia" w:ascii="仿宋" w:hAnsi="仿宋" w:eastAsia="仿宋" w:cs="宋体"/>
                <w:szCs w:val="21"/>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7" w:type="pct"/>
            <w:vMerge w:val="continue"/>
            <w:vAlign w:val="center"/>
          </w:tcPr>
          <w:p>
            <w:pPr>
              <w:jc w:val="center"/>
              <w:rPr>
                <w:rFonts w:ascii="仿宋" w:hAnsi="仿宋" w:eastAsia="仿宋" w:cs="宋体"/>
                <w:szCs w:val="21"/>
              </w:rPr>
            </w:pPr>
          </w:p>
        </w:tc>
        <w:tc>
          <w:tcPr>
            <w:tcW w:w="598" w:type="pct"/>
            <w:vMerge w:val="continue"/>
            <w:vAlign w:val="center"/>
          </w:tcPr>
          <w:p>
            <w:pPr>
              <w:jc w:val="center"/>
              <w:rPr>
                <w:rFonts w:ascii="仿宋" w:hAnsi="仿宋" w:eastAsia="仿宋" w:cs="宋体"/>
                <w:szCs w:val="21"/>
              </w:rPr>
            </w:pPr>
          </w:p>
        </w:tc>
        <w:tc>
          <w:tcPr>
            <w:tcW w:w="177" w:type="pct"/>
            <w:vAlign w:val="center"/>
          </w:tcPr>
          <w:p>
            <w:pPr>
              <w:widowControl/>
              <w:jc w:val="right"/>
              <w:textAlignment w:val="center"/>
              <w:rPr>
                <w:rFonts w:ascii="仿宋" w:hAnsi="仿宋" w:eastAsia="仿宋" w:cs="宋体"/>
                <w:szCs w:val="21"/>
              </w:rPr>
            </w:pPr>
            <w:r>
              <w:rPr>
                <w:rFonts w:hint="eastAsia" w:ascii="仿宋" w:hAnsi="仿宋" w:eastAsia="仿宋" w:cs="宋体"/>
                <w:kern w:val="0"/>
                <w:sz w:val="22"/>
                <w:szCs w:val="22"/>
              </w:rPr>
              <w:t>25</w:t>
            </w:r>
          </w:p>
        </w:tc>
        <w:tc>
          <w:tcPr>
            <w:tcW w:w="1160" w:type="pct"/>
            <w:vMerge w:val="restart"/>
            <w:vAlign w:val="center"/>
          </w:tcPr>
          <w:p>
            <w:pPr>
              <w:jc w:val="center"/>
              <w:rPr>
                <w:rFonts w:ascii="仿宋" w:hAnsi="仿宋" w:eastAsia="仿宋" w:cs="宋体"/>
                <w:szCs w:val="21"/>
              </w:rPr>
            </w:pPr>
            <w:r>
              <w:rPr>
                <w:rFonts w:hint="eastAsia" w:ascii="仿宋" w:hAnsi="仿宋" w:eastAsia="仿宋" w:cs="宋体"/>
                <w:szCs w:val="21"/>
              </w:rPr>
              <w:t>餐饮油烟治理项目</w:t>
            </w:r>
          </w:p>
        </w:tc>
        <w:tc>
          <w:tcPr>
            <w:tcW w:w="1706" w:type="pct"/>
            <w:vAlign w:val="center"/>
          </w:tcPr>
          <w:p>
            <w:pPr>
              <w:jc w:val="center"/>
              <w:rPr>
                <w:rFonts w:ascii="仿宋" w:hAnsi="仿宋" w:eastAsia="仿宋" w:cs="宋体"/>
                <w:szCs w:val="21"/>
              </w:rPr>
            </w:pPr>
            <w:r>
              <w:rPr>
                <w:rFonts w:hint="eastAsia" w:ascii="仿宋" w:hAnsi="仿宋" w:eastAsia="仿宋" w:cs="宋体"/>
                <w:szCs w:val="21"/>
              </w:rPr>
              <w:t>安装油烟净化器</w:t>
            </w:r>
          </w:p>
        </w:tc>
        <w:tc>
          <w:tcPr>
            <w:tcW w:w="452" w:type="pct"/>
            <w:noWrap/>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noWrap/>
            <w:vAlign w:val="center"/>
          </w:tcPr>
          <w:p>
            <w:pPr>
              <w:jc w:val="center"/>
              <w:rPr>
                <w:rFonts w:ascii="仿宋" w:hAnsi="仿宋" w:eastAsia="仿宋" w:cs="宋体"/>
                <w:szCs w:val="21"/>
              </w:rPr>
            </w:pPr>
            <w:r>
              <w:rPr>
                <w:rFonts w:hint="eastAsia" w:ascii="仿宋" w:hAnsi="仿宋" w:eastAsia="仿宋" w:cs="宋体"/>
                <w:szCs w:val="21"/>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7" w:type="pct"/>
            <w:vMerge w:val="continue"/>
            <w:vAlign w:val="center"/>
          </w:tcPr>
          <w:p>
            <w:pPr>
              <w:jc w:val="center"/>
              <w:rPr>
                <w:rFonts w:ascii="仿宋" w:hAnsi="仿宋" w:eastAsia="仿宋" w:cs="宋体"/>
                <w:szCs w:val="21"/>
              </w:rPr>
            </w:pPr>
          </w:p>
        </w:tc>
        <w:tc>
          <w:tcPr>
            <w:tcW w:w="598" w:type="pct"/>
            <w:vMerge w:val="continue"/>
            <w:vAlign w:val="center"/>
          </w:tcPr>
          <w:p>
            <w:pPr>
              <w:jc w:val="center"/>
              <w:rPr>
                <w:rFonts w:ascii="仿宋" w:hAnsi="仿宋" w:eastAsia="仿宋" w:cs="宋体"/>
                <w:szCs w:val="21"/>
              </w:rPr>
            </w:pPr>
          </w:p>
        </w:tc>
        <w:tc>
          <w:tcPr>
            <w:tcW w:w="177" w:type="pct"/>
            <w:vAlign w:val="center"/>
          </w:tcPr>
          <w:p>
            <w:pPr>
              <w:widowControl/>
              <w:jc w:val="right"/>
              <w:textAlignment w:val="center"/>
              <w:rPr>
                <w:rFonts w:ascii="仿宋" w:hAnsi="仿宋" w:eastAsia="仿宋" w:cs="宋体"/>
                <w:szCs w:val="21"/>
              </w:rPr>
            </w:pPr>
            <w:r>
              <w:rPr>
                <w:rFonts w:hint="eastAsia" w:ascii="仿宋" w:hAnsi="仿宋" w:eastAsia="仿宋" w:cs="宋体"/>
                <w:kern w:val="0"/>
                <w:sz w:val="22"/>
                <w:szCs w:val="22"/>
              </w:rPr>
              <w:t>26</w:t>
            </w:r>
          </w:p>
        </w:tc>
        <w:tc>
          <w:tcPr>
            <w:tcW w:w="1160" w:type="pct"/>
            <w:vMerge w:val="continue"/>
            <w:vAlign w:val="center"/>
          </w:tcPr>
          <w:p>
            <w:pPr>
              <w:jc w:val="center"/>
              <w:rPr>
                <w:rFonts w:ascii="仿宋" w:hAnsi="仿宋" w:eastAsia="仿宋" w:cs="宋体"/>
                <w:szCs w:val="21"/>
              </w:rPr>
            </w:pPr>
          </w:p>
        </w:tc>
        <w:tc>
          <w:tcPr>
            <w:tcW w:w="1706" w:type="pct"/>
            <w:noWrap/>
            <w:vAlign w:val="center"/>
          </w:tcPr>
          <w:p>
            <w:pPr>
              <w:jc w:val="center"/>
              <w:rPr>
                <w:rFonts w:ascii="仿宋" w:hAnsi="仿宋" w:eastAsia="仿宋" w:cs="宋体"/>
                <w:szCs w:val="21"/>
              </w:rPr>
            </w:pPr>
            <w:r>
              <w:rPr>
                <w:rFonts w:hint="eastAsia" w:ascii="仿宋" w:hAnsi="仿宋" w:eastAsia="仿宋" w:cs="宋体"/>
                <w:szCs w:val="21"/>
              </w:rPr>
              <w:t>建立餐饮油烟维护中心</w:t>
            </w:r>
          </w:p>
        </w:tc>
        <w:tc>
          <w:tcPr>
            <w:tcW w:w="452" w:type="pct"/>
            <w:noWrap/>
            <w:vAlign w:val="center"/>
          </w:tcPr>
          <w:p>
            <w:pPr>
              <w:jc w:val="center"/>
              <w:rPr>
                <w:rFonts w:ascii="仿宋" w:hAnsi="仿宋" w:eastAsia="仿宋" w:cs="宋体"/>
                <w:szCs w:val="21"/>
              </w:rPr>
            </w:pPr>
            <w:r>
              <w:rPr>
                <w:rFonts w:hint="eastAsia" w:ascii="仿宋" w:hAnsi="仿宋" w:eastAsia="仿宋" w:cs="宋体"/>
                <w:szCs w:val="21"/>
              </w:rPr>
              <w:t>2021-2025</w:t>
            </w:r>
          </w:p>
        </w:tc>
        <w:tc>
          <w:tcPr>
            <w:tcW w:w="657" w:type="pct"/>
            <w:noWrap/>
            <w:vAlign w:val="center"/>
          </w:tcPr>
          <w:p>
            <w:pPr>
              <w:jc w:val="center"/>
              <w:rPr>
                <w:rFonts w:ascii="仿宋" w:hAnsi="仿宋" w:eastAsia="仿宋" w:cs="宋体"/>
                <w:szCs w:val="21"/>
              </w:rPr>
            </w:pPr>
            <w:r>
              <w:rPr>
                <w:rFonts w:hint="eastAsia" w:ascii="仿宋" w:hAnsi="仿宋" w:eastAsia="仿宋" w:cs="宋体"/>
                <w:szCs w:val="21"/>
              </w:rPr>
              <w:t>市城市管理局</w:t>
            </w:r>
          </w:p>
        </w:tc>
      </w:tr>
    </w:tbl>
    <w:p>
      <w:pPr>
        <w:pStyle w:val="5"/>
        <w:ind w:firstLine="560"/>
        <w:rPr>
          <w:rFonts w:ascii="仿宋" w:hAnsi="仿宋" w:cs="宋体"/>
          <w:szCs w:val="28"/>
        </w:rPr>
        <w:sectPr>
          <w:pgSz w:w="16838" w:h="11906" w:orient="landscape"/>
          <w:pgMar w:top="1800" w:right="1440" w:bottom="1800" w:left="1440" w:header="851" w:footer="992" w:gutter="0"/>
          <w:cols w:space="425" w:num="1"/>
          <w:docGrid w:type="lines" w:linePitch="312" w:charSpace="0"/>
        </w:sectPr>
      </w:pPr>
    </w:p>
    <w:p>
      <w:pPr>
        <w:pStyle w:val="2"/>
        <w:rPr>
          <w:rFonts w:ascii="仿宋" w:hAnsi="仿宋" w:eastAsia="仿宋"/>
        </w:rPr>
      </w:pPr>
      <w:bookmarkStart w:id="87" w:name="_Toc59366169"/>
      <w:bookmarkStart w:id="88" w:name="_Toc57642052"/>
      <w:bookmarkStart w:id="89" w:name="_Toc57641786"/>
      <w:bookmarkStart w:id="90" w:name="_Toc16461"/>
      <w:bookmarkStart w:id="91" w:name="_Toc65597856"/>
      <w:r>
        <w:rPr>
          <w:rFonts w:hint="eastAsia" w:ascii="仿宋" w:hAnsi="仿宋" w:eastAsia="仿宋"/>
        </w:rPr>
        <w:t>五、保障措施</w:t>
      </w:r>
      <w:bookmarkEnd w:id="87"/>
      <w:bookmarkEnd w:id="88"/>
      <w:bookmarkEnd w:id="89"/>
      <w:bookmarkEnd w:id="90"/>
      <w:bookmarkEnd w:id="91"/>
    </w:p>
    <w:p>
      <w:pPr>
        <w:spacing w:line="360" w:lineRule="auto"/>
        <w:ind w:firstLine="562" w:firstLineChars="200"/>
        <w:outlineLvl w:val="1"/>
        <w:rPr>
          <w:rFonts w:ascii="仿宋" w:hAnsi="仿宋" w:eastAsia="仿宋" w:cs="宋体"/>
          <w:b/>
          <w:sz w:val="28"/>
          <w:szCs w:val="28"/>
        </w:rPr>
      </w:pPr>
      <w:bookmarkStart w:id="92" w:name="_Toc57642053"/>
      <w:bookmarkStart w:id="93" w:name="_Toc57642111"/>
      <w:bookmarkStart w:id="94" w:name="_Toc57641787"/>
      <w:bookmarkStart w:id="95" w:name="_Toc59366170"/>
      <w:bookmarkStart w:id="96" w:name="_Toc6991"/>
      <w:bookmarkStart w:id="97" w:name="_Toc65597857"/>
      <w:r>
        <w:rPr>
          <w:rFonts w:hint="eastAsia" w:ascii="仿宋" w:hAnsi="仿宋" w:eastAsia="仿宋" w:cs="宋体"/>
          <w:b/>
          <w:bCs/>
          <w:sz w:val="28"/>
          <w:szCs w:val="28"/>
        </w:rPr>
        <w:t>（一）</w:t>
      </w:r>
      <w:r>
        <w:rPr>
          <w:rFonts w:hint="eastAsia" w:ascii="仿宋" w:hAnsi="仿宋" w:eastAsia="仿宋" w:cs="宋体"/>
          <w:b/>
          <w:sz w:val="28"/>
          <w:szCs w:val="28"/>
        </w:rPr>
        <w:t>加强组织领导，明确责任分工</w:t>
      </w:r>
      <w:bookmarkEnd w:id="92"/>
      <w:bookmarkEnd w:id="93"/>
      <w:bookmarkEnd w:id="94"/>
      <w:bookmarkEnd w:id="95"/>
      <w:bookmarkEnd w:id="96"/>
      <w:bookmarkEnd w:id="97"/>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建立政府负总责、各部门各尽其责的工作机制。落实规划实施的领导责任制，建立健全干部行政监察和考核制度，并将考核情况作为干部选拔任用和奖惩的依据之一。要坚决担负起生态文明建设和大气污染防治的政治责任，切实提高政治站位，严格落实“党政同责、一岗双责”要求，严格落实属地管理的主体责任。</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实行最严格的生态环境保护制度。健全源头预防、过程控制、损害赔偿、责任追究的生态环境保护制度体系。统筹生态保护红线、环境质量底线、资源利用上线等管控要求，明确各环境管控单元的生态环境准入清单，完善以</w:t>
      </w:r>
      <w:r>
        <w:rPr>
          <w:rFonts w:hint="eastAsia" w:ascii="仿宋" w:hAnsi="仿宋" w:eastAsia="仿宋" w:cs="宋体"/>
          <w:sz w:val="28"/>
          <w:szCs w:val="28"/>
          <w:lang w:val="zh-CN"/>
        </w:rPr>
        <w:t>“三线</w:t>
      </w:r>
      <w:r>
        <w:rPr>
          <w:rFonts w:hint="eastAsia" w:ascii="仿宋" w:hAnsi="仿宋" w:eastAsia="仿宋" w:cs="宋体"/>
          <w:sz w:val="28"/>
          <w:szCs w:val="28"/>
        </w:rPr>
        <w:t>一</w:t>
      </w:r>
      <w:r>
        <w:rPr>
          <w:rFonts w:hint="eastAsia" w:ascii="仿宋" w:hAnsi="仿宋" w:eastAsia="仿宋" w:cs="宋体"/>
          <w:sz w:val="28"/>
          <w:szCs w:val="28"/>
          <w:lang w:val="zh-CN"/>
        </w:rPr>
        <w:t>单"</w:t>
      </w:r>
      <w:r>
        <w:rPr>
          <w:rFonts w:hint="eastAsia" w:ascii="仿宋" w:hAnsi="仿宋" w:eastAsia="仿宋" w:cs="宋体"/>
          <w:sz w:val="28"/>
          <w:szCs w:val="28"/>
        </w:rPr>
        <w:t>制度为核心的生态环境分区管控体系。</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各级各有关部门要按照“谁主管谁负责、谁牵头谁协调”和“管发展的管环保、管生产的管环保、管行业的管环保”原则，健全工作体制机制，部署推进负责领域重点任务，协调解决突出矛盾和问题。</w:t>
      </w:r>
    </w:p>
    <w:p>
      <w:pPr>
        <w:pStyle w:val="3"/>
        <w:spacing w:before="0" w:after="0" w:line="360" w:lineRule="auto"/>
        <w:ind w:firstLine="562" w:firstLineChars="200"/>
        <w:rPr>
          <w:rFonts w:ascii="仿宋" w:hAnsi="仿宋" w:eastAsia="仿宋" w:cs="宋体"/>
          <w:kern w:val="0"/>
          <w:sz w:val="28"/>
          <w:szCs w:val="28"/>
        </w:rPr>
      </w:pPr>
      <w:bookmarkStart w:id="98" w:name="_Toc65597858"/>
      <w:bookmarkStart w:id="99" w:name="_Toc56502539"/>
      <w:bookmarkStart w:id="100" w:name="_Toc16837"/>
      <w:r>
        <w:rPr>
          <w:rFonts w:hint="eastAsia" w:ascii="仿宋" w:hAnsi="仿宋" w:eastAsia="仿宋" w:cs="宋体"/>
          <w:kern w:val="0"/>
          <w:sz w:val="28"/>
          <w:szCs w:val="28"/>
        </w:rPr>
        <w:t>（二）统筹资金投入，创新投资方式</w:t>
      </w:r>
      <w:bookmarkEnd w:id="98"/>
      <w:bookmarkEnd w:id="99"/>
      <w:bookmarkEnd w:id="100"/>
    </w:p>
    <w:p>
      <w:pPr>
        <w:spacing w:line="360" w:lineRule="auto"/>
        <w:ind w:firstLine="560" w:firstLineChars="200"/>
        <w:rPr>
          <w:rFonts w:ascii="仿宋" w:hAnsi="仿宋" w:eastAsia="仿宋" w:cs="宋体"/>
          <w:bCs/>
          <w:sz w:val="28"/>
          <w:szCs w:val="28"/>
        </w:rPr>
      </w:pPr>
      <w:r>
        <w:rPr>
          <w:rFonts w:hint="eastAsia" w:ascii="仿宋" w:hAnsi="仿宋" w:eastAsia="仿宋" w:cs="宋体"/>
          <w:kern w:val="0"/>
          <w:sz w:val="28"/>
          <w:szCs w:val="28"/>
        </w:rPr>
        <w:t>市</w:t>
      </w:r>
      <w:r>
        <w:rPr>
          <w:rFonts w:hint="eastAsia" w:ascii="仿宋" w:hAnsi="仿宋" w:eastAsia="仿宋" w:cs="宋体"/>
          <w:sz w:val="28"/>
          <w:szCs w:val="28"/>
        </w:rPr>
        <w:t>政府要统筹各类专项资金，</w:t>
      </w:r>
      <w:r>
        <w:rPr>
          <w:rFonts w:hint="eastAsia" w:ascii="仿宋" w:hAnsi="仿宋" w:eastAsia="仿宋" w:cs="宋体"/>
          <w:bCs/>
          <w:sz w:val="28"/>
          <w:szCs w:val="28"/>
        </w:rPr>
        <w:t>调动市政府大气污染治理积极性。健全环保信用评价制度，实施跨部门联合惩戒。完善居民阶梯气价制度，居民采暖用气按民用价格执行，减少燃气输配中间环节，降低用气成本。</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创新环境保护领域财政资金支出方式，切实提高资金执行率，提升资金使用效益，推广竞争性申报评审方式，逐步从“补建设”向“补运营”、“事前补助”向“事后奖补”转变。积极推行政府和社会资本合作，采取新型融资模式，通过发行专项债券、采用PPP模式，引导金融机构、企业、社会捐赠资金等增加投入，支持经营性、准公益性、公益性环境保护项目。</w:t>
      </w:r>
    </w:p>
    <w:p>
      <w:pPr>
        <w:spacing w:line="360" w:lineRule="auto"/>
        <w:ind w:firstLine="562" w:firstLineChars="200"/>
        <w:outlineLvl w:val="1"/>
        <w:rPr>
          <w:rFonts w:ascii="仿宋" w:hAnsi="仿宋" w:eastAsia="仿宋" w:cs="宋体"/>
          <w:sz w:val="28"/>
          <w:szCs w:val="28"/>
        </w:rPr>
      </w:pPr>
      <w:bookmarkStart w:id="101" w:name="_Toc57641790"/>
      <w:bookmarkStart w:id="102" w:name="_Toc57642114"/>
      <w:bookmarkStart w:id="103" w:name="_Toc11487"/>
      <w:bookmarkStart w:id="104" w:name="_Toc57642056"/>
      <w:bookmarkStart w:id="105" w:name="_Toc59366173"/>
      <w:bookmarkStart w:id="106" w:name="_Toc65597859"/>
      <w:r>
        <w:rPr>
          <w:rFonts w:hint="eastAsia" w:ascii="仿宋" w:hAnsi="仿宋" w:eastAsia="仿宋" w:cs="宋体"/>
          <w:b/>
          <w:bCs/>
          <w:sz w:val="28"/>
          <w:szCs w:val="28"/>
        </w:rPr>
        <w:t>（三）</w:t>
      </w:r>
      <w:r>
        <w:rPr>
          <w:rFonts w:hint="eastAsia" w:ascii="仿宋" w:hAnsi="仿宋" w:eastAsia="仿宋" w:cs="宋体"/>
          <w:b/>
          <w:sz w:val="28"/>
          <w:szCs w:val="28"/>
        </w:rPr>
        <w:t>加强监督考核，确保实施成效</w:t>
      </w:r>
      <w:bookmarkEnd w:id="101"/>
      <w:bookmarkEnd w:id="102"/>
      <w:bookmarkEnd w:id="103"/>
      <w:bookmarkEnd w:id="104"/>
      <w:bookmarkEnd w:id="105"/>
      <w:bookmarkEnd w:id="106"/>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建现代环境治理体系，推进环境监测、监察、应急等环境保护能力建设，完善污染防治区域联防联控体系和协作机制。建立企业环境信用评价和违法排污黑名单制度。开展企业环境信用评价,建立企业环境守信联合激励和失信联合惩戒的机制，促使企业环保</w:t>
      </w:r>
      <w:r>
        <w:rPr>
          <w:rFonts w:hint="eastAsia" w:ascii="仿宋" w:hAnsi="仿宋" w:eastAsia="仿宋" w:cs="宋体"/>
          <w:sz w:val="28"/>
          <w:szCs w:val="28"/>
          <w:lang w:val="zh-CN"/>
        </w:rPr>
        <w:t>“信</w:t>
      </w:r>
      <w:r>
        <w:rPr>
          <w:rFonts w:hint="eastAsia" w:ascii="仿宋" w:hAnsi="仿宋" w:eastAsia="仿宋" w:cs="宋体"/>
          <w:sz w:val="28"/>
          <w:szCs w:val="28"/>
        </w:rPr>
        <w:t>用压力”，激发环保“内生动力"，促进企业落实环境保护主体责任，提高环境管理水平。</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严格考核评价问责。完善构建“周通报、月排名、季调度”的工作机制，及时组织研究大气污染防治相关政策措施、协调解决重大问题。将年度和终期目标任务完成情况作为重要内容，纳入绩效考核，奖优罚劣。制订并实施本市生态环境保护工作量化问责规定，以大气污染防治工作为重点，按问题累积数量逐级问责分管负责人、主要负责人。对各乡镇（街道）、国有企业落实环保责任不到位、监管不力、失职渎职的，按程序将问题线索移交纪检监察机关依法依规严肃追究责任。发现篡改、伪造监测数据的，考核结果直接认定为不合格，并依纪依法追究责任。</w:t>
      </w:r>
    </w:p>
    <w:p>
      <w:pPr>
        <w:spacing w:line="360" w:lineRule="auto"/>
        <w:ind w:firstLine="562" w:firstLineChars="200"/>
        <w:outlineLvl w:val="1"/>
        <w:rPr>
          <w:rFonts w:ascii="仿宋" w:hAnsi="仿宋" w:eastAsia="仿宋" w:cs="宋体"/>
          <w:b/>
          <w:bCs/>
          <w:sz w:val="28"/>
          <w:szCs w:val="28"/>
        </w:rPr>
      </w:pPr>
      <w:bookmarkStart w:id="107" w:name="_Toc65597860"/>
      <w:bookmarkStart w:id="108" w:name="_Toc336"/>
      <w:r>
        <w:rPr>
          <w:rFonts w:hint="eastAsia" w:ascii="仿宋" w:hAnsi="仿宋" w:eastAsia="仿宋" w:cs="宋体"/>
          <w:b/>
          <w:bCs/>
          <w:sz w:val="28"/>
          <w:szCs w:val="28"/>
        </w:rPr>
        <w:t>（四）加大宣传引导，鼓励社会参与</w:t>
      </w:r>
      <w:bookmarkEnd w:id="107"/>
      <w:bookmarkEnd w:id="108"/>
    </w:p>
    <w:p>
      <w:pPr>
        <w:pStyle w:val="5"/>
        <w:ind w:firstLine="560"/>
        <w:rPr>
          <w:rFonts w:ascii="仿宋" w:hAnsi="仿宋" w:cs="宋体"/>
          <w:szCs w:val="28"/>
        </w:rPr>
      </w:pPr>
      <w:r>
        <w:rPr>
          <w:rFonts w:hint="eastAsia" w:ascii="仿宋" w:hAnsi="仿宋" w:cs="宋体"/>
          <w:szCs w:val="28"/>
        </w:rPr>
        <w:t>构建全民共治格局。加强新闻宣传引导，广泛宣传报道中央和省委、省政府“十四五”大气专项工作部署、工作进展和工作成效。普及大气污染防治科学与健康防护知识，利用新闻媒体、网络、报刊等，宣传先进典型，曝光大气环境违法案件，为改善大气环境质量营造良好的舆论氛围。建立重污染天气宣传报道应急响应机制，及时回应社会关切，主动引导社会预期。加强法制宣传，深入广泛宣传环境保护法、大气污染防治法及四个配套办法，切实加强全民、全社会大气污染综合治理的法治意识，增强依法治污的自觉性、自律性。</w:t>
      </w:r>
    </w:p>
    <w:p>
      <w:pPr>
        <w:pStyle w:val="5"/>
        <w:ind w:firstLine="560"/>
        <w:rPr>
          <w:rFonts w:ascii="仿宋" w:hAnsi="仿宋" w:cs="宋体"/>
          <w:szCs w:val="28"/>
        </w:rPr>
      </w:pPr>
      <w:r>
        <w:rPr>
          <w:rFonts w:hint="eastAsia" w:ascii="仿宋" w:hAnsi="仿宋" w:cs="宋体"/>
          <w:szCs w:val="28"/>
        </w:rPr>
        <w:t>加强信息公开。公开重污染天气应急预案及应急减排措施清单，及时发布重污染天气预警提示信息。建立健全环保信息强制性公开制度，持续推进企业信息强制公开。重点排污单位应及时公布自行监测和污染排放数据、污染治理措施、重污染天气应对、环保违法处罚及整改等信息。已核发排污许可证的企业应按要求及时公布执行报告。机动车和非道路移动机械生产、进口企业应依法向社会公开排放检验、污染控制技术等信息。</w:t>
      </w:r>
    </w:p>
    <w:p>
      <w:pPr>
        <w:pStyle w:val="5"/>
        <w:ind w:firstLine="560"/>
        <w:rPr>
          <w:rFonts w:ascii="仿宋" w:hAnsi="仿宋"/>
        </w:rPr>
      </w:pPr>
      <w:r>
        <w:rPr>
          <w:rFonts w:hint="eastAsia" w:ascii="仿宋" w:hAnsi="仿宋" w:cs="宋体"/>
          <w:szCs w:val="28"/>
        </w:rPr>
        <w:t>加强社会参与。搭建德惠市环境保护公众参与平台，增强人民群众的知情权、参与权、表达权和监督权，主动接受社会监督。创新和完善举报奖励制度。发挥环保志愿者作用。推行工业企业环境宣传教育规范化建设，引导绿色生产。推进工业企业环境教育基地建设，完善环保设施向公众开放制度。开展绿色创建活动，大力推行绿色消费，提倡绿色居住，倡导绿色出行，构建全民共同参与的大气污染治理格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087327"/>
    </w:sdtPr>
    <w:sdtContent>
      <w:p>
        <w:pPr>
          <w:pStyle w:val="11"/>
          <w:jc w:val="center"/>
        </w:pPr>
        <w:r>
          <w:fldChar w:fldCharType="begin"/>
        </w:r>
        <w:r>
          <w:instrText xml:space="preserve">PAGE   \* MERGEFORMAT</w:instrText>
        </w:r>
        <w:r>
          <w:fldChar w:fldCharType="separate"/>
        </w:r>
        <w:r>
          <w:rPr>
            <w:lang w:val="zh-CN"/>
          </w:rPr>
          <w:t>1</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90FFE"/>
    <w:multiLevelType w:val="singleLevel"/>
    <w:tmpl w:val="06590FFE"/>
    <w:lvl w:ilvl="0" w:tentative="0">
      <w:start w:val="1"/>
      <w:numFmt w:val="chineseCounting"/>
      <w:suff w:val="nothing"/>
      <w:lvlText w:val="（%1）"/>
      <w:lvlJc w:val="left"/>
      <w:rPr>
        <w:rFonts w:hint="eastAsia"/>
      </w:rPr>
    </w:lvl>
  </w:abstractNum>
  <w:abstractNum w:abstractNumId="1">
    <w:nsid w:val="4282BFE3"/>
    <w:multiLevelType w:val="singleLevel"/>
    <w:tmpl w:val="4282BFE3"/>
    <w:lvl w:ilvl="0" w:tentative="0">
      <w:start w:val="1"/>
      <w:numFmt w:val="decimal"/>
      <w:suff w:val="nothing"/>
      <w:lvlText w:val="%1、"/>
      <w:lvlJc w:val="left"/>
    </w:lvl>
  </w:abstractNum>
  <w:abstractNum w:abstractNumId="2">
    <w:nsid w:val="46B2BDCA"/>
    <w:multiLevelType w:val="singleLevel"/>
    <w:tmpl w:val="46B2BDC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hiN2U0MDY3YmUyODQ1Zjk0M2U2NjlhZDQ3NWNjMjMifQ=="/>
  </w:docVars>
  <w:rsids>
    <w:rsidRoot w:val="1D1378F8"/>
    <w:rsid w:val="00005001"/>
    <w:rsid w:val="00085340"/>
    <w:rsid w:val="0010045A"/>
    <w:rsid w:val="00111F32"/>
    <w:rsid w:val="00121D79"/>
    <w:rsid w:val="00126CC7"/>
    <w:rsid w:val="00150A5E"/>
    <w:rsid w:val="001838C6"/>
    <w:rsid w:val="00245BBC"/>
    <w:rsid w:val="00270A09"/>
    <w:rsid w:val="00277C04"/>
    <w:rsid w:val="002829F8"/>
    <w:rsid w:val="0028519E"/>
    <w:rsid w:val="002C704E"/>
    <w:rsid w:val="002F6525"/>
    <w:rsid w:val="00320FAD"/>
    <w:rsid w:val="0032514F"/>
    <w:rsid w:val="003438DD"/>
    <w:rsid w:val="00362985"/>
    <w:rsid w:val="00377784"/>
    <w:rsid w:val="003862C5"/>
    <w:rsid w:val="00444CC0"/>
    <w:rsid w:val="00450BFF"/>
    <w:rsid w:val="00452510"/>
    <w:rsid w:val="004803A3"/>
    <w:rsid w:val="00482B72"/>
    <w:rsid w:val="004F082A"/>
    <w:rsid w:val="0051362C"/>
    <w:rsid w:val="00541E67"/>
    <w:rsid w:val="005729DD"/>
    <w:rsid w:val="005B0BF3"/>
    <w:rsid w:val="005E1621"/>
    <w:rsid w:val="00610A7A"/>
    <w:rsid w:val="00631D86"/>
    <w:rsid w:val="0067278A"/>
    <w:rsid w:val="00675FAB"/>
    <w:rsid w:val="006C2735"/>
    <w:rsid w:val="006F5E2C"/>
    <w:rsid w:val="006F7D84"/>
    <w:rsid w:val="007878E0"/>
    <w:rsid w:val="007A7829"/>
    <w:rsid w:val="007B2364"/>
    <w:rsid w:val="007E1040"/>
    <w:rsid w:val="007F6ADF"/>
    <w:rsid w:val="00813222"/>
    <w:rsid w:val="0082029B"/>
    <w:rsid w:val="00822EA2"/>
    <w:rsid w:val="00824E5A"/>
    <w:rsid w:val="00842DDD"/>
    <w:rsid w:val="008A02ED"/>
    <w:rsid w:val="00946FE9"/>
    <w:rsid w:val="009707DE"/>
    <w:rsid w:val="009D0A05"/>
    <w:rsid w:val="009F32DD"/>
    <w:rsid w:val="00A22F55"/>
    <w:rsid w:val="00A23641"/>
    <w:rsid w:val="00A258CB"/>
    <w:rsid w:val="00A44301"/>
    <w:rsid w:val="00A627E7"/>
    <w:rsid w:val="00A65D63"/>
    <w:rsid w:val="00AD2B15"/>
    <w:rsid w:val="00B643B8"/>
    <w:rsid w:val="00BE0E57"/>
    <w:rsid w:val="00BE7054"/>
    <w:rsid w:val="00BF518C"/>
    <w:rsid w:val="00C12EB9"/>
    <w:rsid w:val="00C27730"/>
    <w:rsid w:val="00C74F1C"/>
    <w:rsid w:val="00C9739D"/>
    <w:rsid w:val="00CA32F1"/>
    <w:rsid w:val="00CD798B"/>
    <w:rsid w:val="00CD7F14"/>
    <w:rsid w:val="00CE07D9"/>
    <w:rsid w:val="00CF26E4"/>
    <w:rsid w:val="00D06475"/>
    <w:rsid w:val="00D07E5C"/>
    <w:rsid w:val="00D23967"/>
    <w:rsid w:val="00D274DC"/>
    <w:rsid w:val="00D65228"/>
    <w:rsid w:val="00D778ED"/>
    <w:rsid w:val="00D85873"/>
    <w:rsid w:val="00DC0A11"/>
    <w:rsid w:val="00DC37D4"/>
    <w:rsid w:val="00E04656"/>
    <w:rsid w:val="00E30280"/>
    <w:rsid w:val="00E31256"/>
    <w:rsid w:val="00EA5356"/>
    <w:rsid w:val="00EB150E"/>
    <w:rsid w:val="00EC614A"/>
    <w:rsid w:val="00EC68F8"/>
    <w:rsid w:val="00EE06F5"/>
    <w:rsid w:val="00F00ECB"/>
    <w:rsid w:val="00F015A7"/>
    <w:rsid w:val="00F16420"/>
    <w:rsid w:val="00F5097E"/>
    <w:rsid w:val="00F97D24"/>
    <w:rsid w:val="00FC3658"/>
    <w:rsid w:val="00FD1500"/>
    <w:rsid w:val="00FD1CF0"/>
    <w:rsid w:val="00FE1EEC"/>
    <w:rsid w:val="00FE510D"/>
    <w:rsid w:val="03D05BF6"/>
    <w:rsid w:val="07003708"/>
    <w:rsid w:val="08A604C3"/>
    <w:rsid w:val="0CE77CD7"/>
    <w:rsid w:val="1CBA1D72"/>
    <w:rsid w:val="1D1378F8"/>
    <w:rsid w:val="1D5C3938"/>
    <w:rsid w:val="260124E1"/>
    <w:rsid w:val="2A6F1BEE"/>
    <w:rsid w:val="2B673274"/>
    <w:rsid w:val="2C844EFB"/>
    <w:rsid w:val="30A734F4"/>
    <w:rsid w:val="30C341B5"/>
    <w:rsid w:val="34187AE0"/>
    <w:rsid w:val="3619419C"/>
    <w:rsid w:val="39CE3316"/>
    <w:rsid w:val="42D94704"/>
    <w:rsid w:val="442722CD"/>
    <w:rsid w:val="49807FEB"/>
    <w:rsid w:val="4F9F3498"/>
    <w:rsid w:val="53340967"/>
    <w:rsid w:val="57FA4163"/>
    <w:rsid w:val="651C41FF"/>
    <w:rsid w:val="6BD310DD"/>
    <w:rsid w:val="70EA325C"/>
    <w:rsid w:val="725E331E"/>
    <w:rsid w:val="74C36BC7"/>
    <w:rsid w:val="77011AFB"/>
    <w:rsid w:val="77704468"/>
    <w:rsid w:val="7B1F7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1"/>
    <w:qFormat/>
    <w:uiPriority w:val="0"/>
    <w:pPr>
      <w:keepNext/>
      <w:keepLines/>
      <w:spacing w:before="320" w:after="320" w:line="320" w:lineRule="exact"/>
      <w:jc w:val="left"/>
      <w:outlineLvl w:val="0"/>
    </w:pPr>
    <w:rPr>
      <w:rFonts w:eastAsia="黑体"/>
      <w:b/>
      <w:bCs/>
      <w:kern w:val="44"/>
      <w:sz w:val="32"/>
      <w:szCs w:val="44"/>
    </w:rPr>
  </w:style>
  <w:style w:type="paragraph" w:styleId="3">
    <w:name w:val="heading 2"/>
    <w:basedOn w:val="1"/>
    <w:next w:val="1"/>
    <w:link w:val="32"/>
    <w:unhideWhenUsed/>
    <w:qFormat/>
    <w:uiPriority w:val="0"/>
    <w:pPr>
      <w:keepNext/>
      <w:keepLines/>
      <w:spacing w:before="260" w:after="260" w:line="416" w:lineRule="auto"/>
      <w:outlineLvl w:val="1"/>
    </w:pPr>
    <w:rPr>
      <w:rFonts w:eastAsia="楷体" w:asciiTheme="majorHAnsi" w:hAnsiTheme="majorHAnsi" w:cstheme="majorBidi"/>
      <w:b/>
      <w:bCs/>
      <w:sz w:val="30"/>
      <w:szCs w:val="32"/>
    </w:rPr>
  </w:style>
  <w:style w:type="paragraph" w:styleId="4">
    <w:name w:val="heading 3"/>
    <w:basedOn w:val="5"/>
    <w:next w:val="1"/>
    <w:link w:val="25"/>
    <w:unhideWhenUsed/>
    <w:qFormat/>
    <w:uiPriority w:val="9"/>
    <w:pPr>
      <w:autoSpaceDE w:val="0"/>
      <w:autoSpaceDN w:val="0"/>
      <w:jc w:val="left"/>
      <w:outlineLvl w:val="2"/>
    </w:pPr>
    <w:rPr>
      <w:rFonts w:ascii="仿宋" w:hAnsi="仿宋" w:cs="仿宋"/>
      <w:b/>
      <w:bCs/>
      <w:szCs w:val="28"/>
      <w:lang w:val="zh-CN" w:bidi="zh-CN"/>
    </w:rPr>
  </w:style>
  <w:style w:type="character" w:default="1" w:styleId="19">
    <w:name w:val="Default Paragraph Font"/>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5">
    <w:name w:val="报告正文"/>
    <w:basedOn w:val="1"/>
    <w:qFormat/>
    <w:uiPriority w:val="0"/>
    <w:pPr>
      <w:widowControl/>
      <w:spacing w:line="360" w:lineRule="auto"/>
      <w:ind w:firstLine="200" w:firstLineChars="200"/>
    </w:pPr>
    <w:rPr>
      <w:rFonts w:ascii="Times New Roman" w:hAnsi="Times New Roman" w:eastAsia="仿宋" w:cs="Times New Roman"/>
      <w:kern w:val="0"/>
      <w:sz w:val="28"/>
      <w:szCs w:val="32"/>
    </w:rPr>
  </w:style>
  <w:style w:type="paragraph" w:styleId="6">
    <w:name w:val="annotation text"/>
    <w:basedOn w:val="1"/>
    <w:link w:val="38"/>
    <w:qFormat/>
    <w:uiPriority w:val="0"/>
    <w:pPr>
      <w:jc w:val="left"/>
    </w:pPr>
  </w:style>
  <w:style w:type="paragraph" w:styleId="7">
    <w:name w:val="Body Text"/>
    <w:basedOn w:val="1"/>
    <w:link w:val="26"/>
    <w:qFormat/>
    <w:uiPriority w:val="1"/>
    <w:pPr>
      <w:autoSpaceDE w:val="0"/>
      <w:autoSpaceDN w:val="0"/>
      <w:ind w:left="120" w:firstLine="559"/>
      <w:jc w:val="left"/>
    </w:pPr>
    <w:rPr>
      <w:rFonts w:ascii="仿宋" w:hAnsi="仿宋" w:eastAsia="仿宋" w:cs="仿宋"/>
      <w:kern w:val="0"/>
      <w:sz w:val="28"/>
      <w:szCs w:val="28"/>
      <w:lang w:val="zh-CN" w:bidi="zh-CN"/>
    </w:rPr>
  </w:style>
  <w:style w:type="paragraph" w:styleId="8">
    <w:name w:val="Body Text Indent"/>
    <w:basedOn w:val="1"/>
    <w:unhideWhenUsed/>
    <w:qFormat/>
    <w:uiPriority w:val="99"/>
    <w:pPr>
      <w:spacing w:after="120"/>
      <w:ind w:left="420" w:leftChars="200"/>
    </w:pPr>
  </w:style>
  <w:style w:type="paragraph" w:styleId="9">
    <w:name w:val="toc 3"/>
    <w:basedOn w:val="1"/>
    <w:next w:val="1"/>
    <w:qFormat/>
    <w:uiPriority w:val="39"/>
    <w:pPr>
      <w:ind w:left="840" w:leftChars="400"/>
    </w:pPr>
    <w:rPr>
      <w:rFonts w:ascii="Calibri" w:hAnsi="Calibri" w:eastAsia="宋体" w:cs="宋体"/>
    </w:rPr>
  </w:style>
  <w:style w:type="paragraph" w:styleId="10">
    <w:name w:val="Balloon Text"/>
    <w:basedOn w:val="1"/>
    <w:link w:val="41"/>
    <w:semiHidden/>
    <w:unhideWhenUsed/>
    <w:uiPriority w:val="0"/>
    <w:rPr>
      <w:sz w:val="18"/>
      <w:szCs w:val="18"/>
    </w:rPr>
  </w:style>
  <w:style w:type="paragraph" w:styleId="11">
    <w:name w:val="footer"/>
    <w:basedOn w:val="1"/>
    <w:link w:val="34"/>
    <w:qFormat/>
    <w:uiPriority w:val="99"/>
    <w:pPr>
      <w:tabs>
        <w:tab w:val="center" w:pos="4153"/>
        <w:tab w:val="right" w:pos="8306"/>
      </w:tabs>
      <w:snapToGrid w:val="0"/>
      <w:jc w:val="left"/>
    </w:pPr>
    <w:rPr>
      <w:sz w:val="18"/>
      <w:szCs w:val="18"/>
    </w:rPr>
  </w:style>
  <w:style w:type="paragraph" w:styleId="12">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2"/>
    <w:basedOn w:val="1"/>
    <w:next w:val="1"/>
    <w:qFormat/>
    <w:uiPriority w:val="39"/>
    <w:pPr>
      <w:ind w:left="420" w:leftChars="200"/>
    </w:pPr>
    <w:rPr>
      <w:rFonts w:ascii="Calibri" w:hAnsi="Calibri" w:eastAsia="宋体" w:cs="宋体"/>
    </w:rPr>
  </w:style>
  <w:style w:type="paragraph" w:styleId="15">
    <w:name w:val="Title"/>
    <w:basedOn w:val="1"/>
    <w:next w:val="1"/>
    <w:link w:val="30"/>
    <w:qFormat/>
    <w:uiPriority w:val="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39"/>
    <w:semiHidden/>
    <w:unhideWhenUsed/>
    <w:qFormat/>
    <w:uiPriority w:val="0"/>
    <w:rPr>
      <w:b/>
      <w:bCs/>
    </w:rPr>
  </w:style>
  <w:style w:type="paragraph" w:styleId="17">
    <w:name w:val="Body Text First Indent 2"/>
    <w:basedOn w:val="8"/>
    <w:unhideWhenUsed/>
    <w:qFormat/>
    <w:uiPriority w:val="99"/>
    <w:pPr>
      <w:adjustRightInd w:val="0"/>
      <w:snapToGrid w:val="0"/>
      <w:spacing w:line="360" w:lineRule="auto"/>
      <w:ind w:firstLine="420"/>
    </w:pPr>
    <w:rPr>
      <w:rFonts w:ascii="宋体" w:hAnsi="宋体"/>
      <w:sz w:val="24"/>
    </w:rPr>
  </w:style>
  <w:style w:type="character" w:styleId="20">
    <w:name w:val="Strong"/>
    <w:basedOn w:val="19"/>
    <w:qFormat/>
    <w:uiPriority w:val="0"/>
    <w:rPr>
      <w:rFonts w:eastAsia="仿宋"/>
      <w:b/>
      <w:bCs/>
      <w:sz w:val="28"/>
    </w:rPr>
  </w:style>
  <w:style w:type="character" w:styleId="21">
    <w:name w:val="Hyperlink"/>
    <w:basedOn w:val="19"/>
    <w:unhideWhenUsed/>
    <w:qFormat/>
    <w:uiPriority w:val="99"/>
    <w:rPr>
      <w:color w:val="0563C1" w:themeColor="hyperlink"/>
      <w:u w:val="single"/>
    </w:rPr>
  </w:style>
  <w:style w:type="character" w:styleId="22">
    <w:name w:val="annotation reference"/>
    <w:basedOn w:val="19"/>
    <w:qFormat/>
    <w:uiPriority w:val="0"/>
    <w:rPr>
      <w:sz w:val="21"/>
      <w:szCs w:val="21"/>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标题 3 Char"/>
    <w:basedOn w:val="19"/>
    <w:link w:val="4"/>
    <w:qFormat/>
    <w:uiPriority w:val="9"/>
    <w:rPr>
      <w:rFonts w:ascii="仿宋" w:hAnsi="仿宋" w:eastAsia="仿宋" w:cs="仿宋"/>
      <w:b/>
      <w:bCs/>
      <w:sz w:val="28"/>
      <w:szCs w:val="28"/>
      <w:lang w:val="zh-CN" w:bidi="zh-CN"/>
    </w:rPr>
  </w:style>
  <w:style w:type="character" w:customStyle="1" w:styleId="26">
    <w:name w:val="正文文本 Char"/>
    <w:basedOn w:val="19"/>
    <w:link w:val="7"/>
    <w:qFormat/>
    <w:uiPriority w:val="1"/>
    <w:rPr>
      <w:rFonts w:ascii="仿宋" w:hAnsi="仿宋" w:eastAsia="仿宋" w:cs="仿宋"/>
      <w:sz w:val="28"/>
      <w:szCs w:val="28"/>
      <w:lang w:val="zh-CN" w:bidi="zh-CN"/>
    </w:rPr>
  </w:style>
  <w:style w:type="paragraph" w:styleId="27">
    <w:name w:val="List Paragraph"/>
    <w:basedOn w:val="1"/>
    <w:qFormat/>
    <w:uiPriority w:val="34"/>
    <w:pPr>
      <w:autoSpaceDE w:val="0"/>
      <w:autoSpaceDN w:val="0"/>
      <w:ind w:left="540" w:hanging="705"/>
      <w:jc w:val="left"/>
    </w:pPr>
    <w:rPr>
      <w:rFonts w:ascii="仿宋" w:hAnsi="仿宋" w:eastAsia="仿宋" w:cs="仿宋"/>
      <w:kern w:val="0"/>
      <w:sz w:val="22"/>
      <w:szCs w:val="22"/>
      <w:lang w:val="zh-CN" w:bidi="zh-CN"/>
    </w:rPr>
  </w:style>
  <w:style w:type="table" w:customStyle="1" w:styleId="28">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9">
    <w:name w:val="Table Paragraph"/>
    <w:basedOn w:val="1"/>
    <w:qFormat/>
    <w:uiPriority w:val="1"/>
    <w:pPr>
      <w:autoSpaceDE w:val="0"/>
      <w:autoSpaceDN w:val="0"/>
      <w:spacing w:before="58"/>
      <w:jc w:val="center"/>
    </w:pPr>
    <w:rPr>
      <w:rFonts w:ascii="宋体" w:hAnsi="宋体" w:eastAsia="宋体" w:cs="宋体"/>
      <w:kern w:val="0"/>
      <w:sz w:val="22"/>
      <w:szCs w:val="22"/>
      <w:lang w:val="zh-CN" w:bidi="zh-CN"/>
    </w:rPr>
  </w:style>
  <w:style w:type="character" w:customStyle="1" w:styleId="30">
    <w:name w:val="标题 Char"/>
    <w:basedOn w:val="19"/>
    <w:link w:val="15"/>
    <w:qFormat/>
    <w:uiPriority w:val="0"/>
    <w:rPr>
      <w:rFonts w:asciiTheme="majorHAnsi" w:hAnsiTheme="majorHAnsi" w:eastAsiaTheme="majorEastAsia" w:cstheme="majorBidi"/>
      <w:b/>
      <w:bCs/>
      <w:kern w:val="2"/>
      <w:sz w:val="32"/>
      <w:szCs w:val="32"/>
    </w:rPr>
  </w:style>
  <w:style w:type="character" w:customStyle="1" w:styleId="31">
    <w:name w:val="标题 1 Char"/>
    <w:basedOn w:val="19"/>
    <w:link w:val="2"/>
    <w:qFormat/>
    <w:uiPriority w:val="0"/>
    <w:rPr>
      <w:rFonts w:eastAsia="黑体" w:asciiTheme="minorHAnsi" w:hAnsiTheme="minorHAnsi" w:cstheme="minorBidi"/>
      <w:b/>
      <w:bCs/>
      <w:kern w:val="44"/>
      <w:sz w:val="32"/>
      <w:szCs w:val="44"/>
    </w:rPr>
  </w:style>
  <w:style w:type="character" w:customStyle="1" w:styleId="32">
    <w:name w:val="标题 2 Char"/>
    <w:basedOn w:val="19"/>
    <w:link w:val="3"/>
    <w:qFormat/>
    <w:uiPriority w:val="0"/>
    <w:rPr>
      <w:rFonts w:eastAsia="楷体" w:asciiTheme="majorHAnsi" w:hAnsiTheme="majorHAnsi" w:cstheme="majorBidi"/>
      <w:b/>
      <w:bCs/>
      <w:kern w:val="2"/>
      <w:sz w:val="30"/>
      <w:szCs w:val="32"/>
    </w:rPr>
  </w:style>
  <w:style w:type="character" w:customStyle="1" w:styleId="33">
    <w:name w:val="页眉 Char"/>
    <w:basedOn w:val="19"/>
    <w:link w:val="12"/>
    <w:qFormat/>
    <w:uiPriority w:val="0"/>
    <w:rPr>
      <w:rFonts w:asciiTheme="minorHAnsi" w:hAnsiTheme="minorHAnsi" w:eastAsiaTheme="minorEastAsia" w:cstheme="minorBidi"/>
      <w:kern w:val="2"/>
      <w:sz w:val="18"/>
      <w:szCs w:val="18"/>
    </w:rPr>
  </w:style>
  <w:style w:type="character" w:customStyle="1" w:styleId="34">
    <w:name w:val="页脚 Char"/>
    <w:basedOn w:val="19"/>
    <w:link w:val="11"/>
    <w:qFormat/>
    <w:uiPriority w:val="99"/>
    <w:rPr>
      <w:rFonts w:asciiTheme="minorHAnsi" w:hAnsiTheme="minorHAnsi" w:eastAsiaTheme="minorEastAsia" w:cstheme="minorBidi"/>
      <w:kern w:val="2"/>
      <w:sz w:val="18"/>
      <w:szCs w:val="18"/>
    </w:rPr>
  </w:style>
  <w:style w:type="paragraph" w:customStyle="1" w:styleId="35">
    <w:name w:val="纯文本1"/>
    <w:basedOn w:val="1"/>
    <w:link w:val="36"/>
    <w:qFormat/>
    <w:uiPriority w:val="0"/>
    <w:pPr>
      <w:snapToGrid w:val="0"/>
      <w:spacing w:afterLines="50" w:line="580" w:lineRule="exact"/>
      <w:ind w:firstLine="200" w:firstLineChars="200"/>
    </w:pPr>
    <w:rPr>
      <w:rFonts w:ascii="宋体" w:hAnsi="Courier New" w:eastAsia="宋体" w:cs="Times New Roman"/>
      <w:kern w:val="0"/>
      <w:sz w:val="28"/>
      <w:szCs w:val="21"/>
      <w:lang w:val="zh-CN"/>
    </w:rPr>
  </w:style>
  <w:style w:type="character" w:customStyle="1" w:styleId="36">
    <w:name w:val="纯文本 Char"/>
    <w:link w:val="35"/>
    <w:qFormat/>
    <w:uiPriority w:val="0"/>
    <w:rPr>
      <w:rFonts w:ascii="宋体" w:hAnsi="Courier New"/>
      <w:sz w:val="28"/>
      <w:szCs w:val="21"/>
      <w:lang w:val="zh-CN"/>
    </w:rPr>
  </w:style>
  <w:style w:type="paragraph" w:customStyle="1" w:styleId="3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8">
    <w:name w:val="批注文字 Char"/>
    <w:basedOn w:val="19"/>
    <w:link w:val="6"/>
    <w:qFormat/>
    <w:uiPriority w:val="0"/>
    <w:rPr>
      <w:kern w:val="2"/>
      <w:sz w:val="21"/>
      <w:szCs w:val="24"/>
    </w:rPr>
  </w:style>
  <w:style w:type="character" w:customStyle="1" w:styleId="39">
    <w:name w:val="批注主题 Char"/>
    <w:basedOn w:val="38"/>
    <w:link w:val="16"/>
    <w:semiHidden/>
    <w:qFormat/>
    <w:uiPriority w:val="0"/>
    <w:rPr>
      <w:b/>
      <w:bCs/>
      <w:kern w:val="2"/>
      <w:sz w:val="21"/>
      <w:szCs w:val="24"/>
    </w:rPr>
  </w:style>
  <w:style w:type="paragraph" w:customStyle="1" w:styleId="40">
    <w:name w:val="Body text|1"/>
    <w:basedOn w:val="1"/>
    <w:qFormat/>
    <w:uiPriority w:val="0"/>
    <w:pPr>
      <w:spacing w:line="463" w:lineRule="auto"/>
      <w:ind w:firstLine="400"/>
    </w:pPr>
    <w:rPr>
      <w:rFonts w:ascii="宋体" w:hAnsi="宋体" w:eastAsia="宋体" w:cs="宋体"/>
      <w:sz w:val="26"/>
      <w:szCs w:val="26"/>
      <w:lang w:val="zh-TW" w:eastAsia="zh-TW" w:bidi="zh-TW"/>
    </w:rPr>
  </w:style>
  <w:style w:type="character" w:customStyle="1" w:styleId="41">
    <w:name w:val="批注框文本 Char"/>
    <w:basedOn w:val="19"/>
    <w:link w:val="10"/>
    <w:semiHidden/>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1CFF7-4A3E-444B-B301-879C6DC71C6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21822</Words>
  <Characters>22549</Characters>
  <Lines>174</Lines>
  <Paragraphs>49</Paragraphs>
  <TotalTime>6</TotalTime>
  <ScaleCrop>false</ScaleCrop>
  <LinksUpToDate>false</LinksUpToDate>
  <CharactersWithSpaces>22632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2020-11-12T05:10:00Z</dcterms:created>
  <dc:creator>昕</dc:creator>
  <cp:lastModifiedBy>邢祥运</cp:lastModifiedBy>
  <dcterms:modified xsi:type="dcterms:W3CDTF">2024-06-26T07:10:14Z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73F940863F0242519084580F388CAF68</vt:lpwstr>
  </property>
</Properties>
</file>