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243E9">
      <w:pPr>
        <w:pStyle w:val="2"/>
        <w:rPr>
          <w:rFonts w:ascii="Times New Roman"/>
          <w:sz w:val="20"/>
        </w:rPr>
      </w:pPr>
    </w:p>
    <w:p w14:paraId="6EEA14BB">
      <w:pPr>
        <w:spacing w:before="268"/>
        <w:ind w:left="0" w:right="234" w:firstLine="0"/>
        <w:jc w:val="center"/>
        <w:rPr>
          <w:sz w:val="52"/>
        </w:rPr>
      </w:pPr>
      <w:r>
        <w:rPr>
          <w:spacing w:val="70"/>
          <w:sz w:val="52"/>
        </w:rPr>
        <w:t>德惠市矿产资源总体规划</w:t>
      </w:r>
    </w:p>
    <w:p w14:paraId="0022E5FE">
      <w:pPr>
        <w:spacing w:before="135"/>
        <w:ind w:left="0" w:right="188" w:firstLine="0"/>
        <w:jc w:val="center"/>
        <w:rPr>
          <w:sz w:val="48"/>
        </w:rPr>
      </w:pPr>
      <w:r>
        <w:rPr>
          <w:sz w:val="44"/>
        </w:rPr>
        <w:t>（</w:t>
      </w:r>
      <w:r>
        <w:rPr>
          <w:rFonts w:ascii="Times New Roman" w:eastAsia="Times New Roman"/>
          <w:sz w:val="44"/>
        </w:rPr>
        <w:t>2021</w:t>
      </w:r>
      <w:r>
        <w:rPr>
          <w:sz w:val="44"/>
        </w:rPr>
        <w:t>－</w:t>
      </w:r>
      <w:r>
        <w:rPr>
          <w:rFonts w:ascii="Times New Roman" w:eastAsia="Times New Roman"/>
          <w:sz w:val="44"/>
        </w:rPr>
        <w:t xml:space="preserve">2025 </w:t>
      </w:r>
      <w:r>
        <w:rPr>
          <w:sz w:val="44"/>
        </w:rPr>
        <w:t>年）</w:t>
      </w:r>
      <w:r>
        <w:rPr>
          <w:sz w:val="48"/>
        </w:rPr>
        <w:t>征求意见稿</w:t>
      </w:r>
    </w:p>
    <w:p w14:paraId="5BC08D48">
      <w:pPr>
        <w:pStyle w:val="2"/>
        <w:rPr>
          <w:sz w:val="60"/>
        </w:rPr>
      </w:pPr>
    </w:p>
    <w:p w14:paraId="2605FDAD">
      <w:pPr>
        <w:pStyle w:val="2"/>
        <w:rPr>
          <w:sz w:val="60"/>
        </w:rPr>
      </w:pPr>
    </w:p>
    <w:p w14:paraId="4101008A">
      <w:pPr>
        <w:pStyle w:val="2"/>
        <w:rPr>
          <w:sz w:val="60"/>
        </w:rPr>
      </w:pPr>
    </w:p>
    <w:p w14:paraId="37A57E09">
      <w:pPr>
        <w:pStyle w:val="2"/>
        <w:rPr>
          <w:sz w:val="60"/>
        </w:rPr>
      </w:pPr>
    </w:p>
    <w:p w14:paraId="70E6C613">
      <w:pPr>
        <w:pStyle w:val="2"/>
        <w:rPr>
          <w:sz w:val="60"/>
        </w:rPr>
      </w:pPr>
    </w:p>
    <w:p w14:paraId="6FCD85B3">
      <w:pPr>
        <w:pStyle w:val="2"/>
        <w:rPr>
          <w:sz w:val="60"/>
        </w:rPr>
      </w:pPr>
    </w:p>
    <w:p w14:paraId="24A3A919">
      <w:pPr>
        <w:pStyle w:val="2"/>
        <w:rPr>
          <w:sz w:val="60"/>
        </w:rPr>
      </w:pPr>
    </w:p>
    <w:p w14:paraId="29BE3130">
      <w:pPr>
        <w:pStyle w:val="2"/>
        <w:rPr>
          <w:sz w:val="60"/>
        </w:rPr>
      </w:pPr>
    </w:p>
    <w:p w14:paraId="10094B62">
      <w:pPr>
        <w:pStyle w:val="2"/>
        <w:rPr>
          <w:sz w:val="60"/>
        </w:rPr>
      </w:pPr>
    </w:p>
    <w:p w14:paraId="360B2ABF">
      <w:pPr>
        <w:pStyle w:val="2"/>
        <w:rPr>
          <w:sz w:val="60"/>
        </w:rPr>
      </w:pPr>
    </w:p>
    <w:p w14:paraId="5BFA3ADF">
      <w:pPr>
        <w:pStyle w:val="2"/>
        <w:rPr>
          <w:sz w:val="60"/>
        </w:rPr>
      </w:pPr>
    </w:p>
    <w:p w14:paraId="62780467">
      <w:pPr>
        <w:pStyle w:val="2"/>
        <w:spacing w:before="5"/>
        <w:rPr>
          <w:sz w:val="57"/>
        </w:rPr>
      </w:pPr>
    </w:p>
    <w:p w14:paraId="305A0BA4">
      <w:pPr>
        <w:tabs>
          <w:tab w:val="left" w:pos="3133"/>
          <w:tab w:val="left" w:pos="3771"/>
          <w:tab w:val="left" w:pos="4412"/>
          <w:tab w:val="left" w:pos="5053"/>
          <w:tab w:val="left" w:pos="5691"/>
          <w:tab w:val="left" w:pos="6332"/>
        </w:tabs>
        <w:spacing w:before="0" w:line="444" w:lineRule="auto"/>
        <w:ind w:left="2492" w:right="2733" w:firstLine="0"/>
        <w:jc w:val="center"/>
        <w:rPr>
          <w:sz w:val="32"/>
        </w:rPr>
      </w:pPr>
      <w:r>
        <w:rPr>
          <w:sz w:val="32"/>
        </w:rPr>
        <w:t>德</w:t>
      </w:r>
      <w:r>
        <w:rPr>
          <w:sz w:val="32"/>
        </w:rPr>
        <w:tab/>
      </w:r>
      <w:r>
        <w:rPr>
          <w:sz w:val="32"/>
        </w:rPr>
        <w:t>惠</w:t>
      </w:r>
      <w:r>
        <w:rPr>
          <w:sz w:val="32"/>
        </w:rPr>
        <w:tab/>
      </w:r>
      <w:r>
        <w:rPr>
          <w:sz w:val="32"/>
        </w:rPr>
        <w:t>市</w:t>
      </w:r>
      <w:r>
        <w:rPr>
          <w:sz w:val="32"/>
        </w:rPr>
        <w:tab/>
      </w:r>
      <w:r>
        <w:rPr>
          <w:sz w:val="32"/>
        </w:rPr>
        <w:t>人</w:t>
      </w:r>
      <w:r>
        <w:rPr>
          <w:sz w:val="32"/>
        </w:rPr>
        <w:tab/>
      </w:r>
      <w:r>
        <w:rPr>
          <w:sz w:val="32"/>
        </w:rPr>
        <w:t>民</w:t>
      </w:r>
      <w:r>
        <w:rPr>
          <w:sz w:val="32"/>
        </w:rPr>
        <w:tab/>
      </w:r>
      <w:r>
        <w:rPr>
          <w:sz w:val="32"/>
        </w:rPr>
        <w:t>政</w:t>
      </w:r>
      <w:r>
        <w:rPr>
          <w:sz w:val="32"/>
        </w:rPr>
        <w:tab/>
      </w:r>
      <w:r>
        <w:rPr>
          <w:spacing w:val="-17"/>
          <w:sz w:val="32"/>
        </w:rPr>
        <w:t>府</w:t>
      </w:r>
      <w:r>
        <w:rPr>
          <w:sz w:val="32"/>
        </w:rPr>
        <w:t>二</w:t>
      </w:r>
      <w:r>
        <w:rPr>
          <w:spacing w:val="-80"/>
          <w:sz w:val="32"/>
        </w:rPr>
        <w:t xml:space="preserve"> </w:t>
      </w:r>
      <w:r>
        <w:rPr>
          <w:spacing w:val="79"/>
          <w:sz w:val="32"/>
        </w:rPr>
        <w:t>〇</w:t>
      </w:r>
      <w:r>
        <w:rPr>
          <w:sz w:val="32"/>
        </w:rPr>
        <w:t>二</w:t>
      </w:r>
      <w:r>
        <w:rPr>
          <w:spacing w:val="-80"/>
          <w:sz w:val="32"/>
        </w:rPr>
        <w:t xml:space="preserve"> </w:t>
      </w:r>
      <w:r>
        <w:rPr>
          <w:sz w:val="32"/>
        </w:rPr>
        <w:t>二</w:t>
      </w:r>
      <w:r>
        <w:rPr>
          <w:spacing w:val="-79"/>
          <w:sz w:val="32"/>
        </w:rPr>
        <w:t xml:space="preserve"> </w:t>
      </w:r>
      <w:r>
        <w:rPr>
          <w:spacing w:val="79"/>
          <w:sz w:val="32"/>
        </w:rPr>
        <w:t>年</w:t>
      </w:r>
      <w:r>
        <w:rPr>
          <w:sz w:val="32"/>
        </w:rPr>
        <w:t>七</w:t>
      </w:r>
      <w:r>
        <w:rPr>
          <w:spacing w:val="-80"/>
          <w:sz w:val="32"/>
        </w:rPr>
        <w:t xml:space="preserve"> </w:t>
      </w:r>
      <w:r>
        <w:rPr>
          <w:sz w:val="32"/>
        </w:rPr>
        <w:t>月</w:t>
      </w:r>
    </w:p>
    <w:p w14:paraId="17E86C8C">
      <w:pPr>
        <w:spacing w:after="0" w:line="444" w:lineRule="auto"/>
        <w:jc w:val="center"/>
        <w:rPr>
          <w:sz w:val="32"/>
        </w:rPr>
        <w:sectPr>
          <w:type w:val="continuous"/>
          <w:pgSz w:w="11910" w:h="16840"/>
          <w:pgMar w:top="1600" w:right="1180" w:bottom="280" w:left="1340" w:header="720" w:footer="720" w:gutter="0"/>
          <w:cols w:space="720" w:num="1"/>
        </w:sectPr>
      </w:pPr>
    </w:p>
    <w:p w14:paraId="65B19D5A">
      <w:pPr>
        <w:tabs>
          <w:tab w:val="left" w:pos="719"/>
        </w:tabs>
        <w:spacing w:before="100"/>
        <w:ind w:left="0" w:right="162" w:firstLine="0"/>
        <w:jc w:val="center"/>
        <w:rPr>
          <w:sz w:val="36"/>
        </w:rPr>
      </w:pPr>
      <w:r>
        <w:rPr>
          <w:sz w:val="36"/>
        </w:rPr>
        <w:t>目</w:t>
      </w:r>
      <w:r>
        <w:rPr>
          <w:sz w:val="36"/>
        </w:rPr>
        <w:tab/>
      </w:r>
      <w:r>
        <w:rPr>
          <w:sz w:val="36"/>
        </w:rPr>
        <w:t>录</w:t>
      </w:r>
    </w:p>
    <w:p w14:paraId="2A05CC34">
      <w:pPr>
        <w:spacing w:after="0"/>
        <w:jc w:val="center"/>
        <w:rPr>
          <w:sz w:val="36"/>
        </w:rPr>
        <w:sectPr>
          <w:pgSz w:w="11910" w:h="16840"/>
          <w:pgMar w:top="1240" w:right="1180" w:bottom="1800" w:left="1340" w:header="720" w:footer="720" w:gutter="0"/>
          <w:cols w:space="720" w:num="1"/>
        </w:sectPr>
      </w:pPr>
    </w:p>
    <w:p w14:paraId="01226FAB">
      <w:pPr>
        <w:pStyle w:val="5"/>
        <w:tabs>
          <w:tab w:val="left" w:pos="559"/>
          <w:tab w:val="left" w:leader="dot" w:pos="8877"/>
        </w:tabs>
        <w:rPr>
          <w:rFonts w:ascii="Times New Roman" w:eastAsia="Times New Roman"/>
          <w:b/>
        </w:rPr>
      </w:pPr>
      <w:r>
        <w:fldChar w:fldCharType="begin"/>
      </w:r>
      <w:r>
        <w:instrText xml:space="preserve">HYPERLINK  \l "_bookmark0" </w:instrText>
      </w:r>
      <w:r>
        <w:fldChar w:fldCharType="separate"/>
      </w:r>
      <w:r>
        <w:t>总</w:t>
      </w:r>
      <w:r>
        <w:tab/>
      </w:r>
      <w:r>
        <w:t>则</w:t>
      </w:r>
      <w:r>
        <w:tab/>
      </w:r>
      <w:r>
        <w:rPr>
          <w:rFonts w:ascii="Times New Roman" w:eastAsia="Times New Roman"/>
          <w:b/>
        </w:rPr>
        <w:t>1</w:t>
      </w:r>
      <w:r>
        <w:fldChar w:fldCharType="end"/>
      </w:r>
    </w:p>
    <w:p w14:paraId="069C62C4">
      <w:pPr>
        <w:pStyle w:val="6"/>
        <w:tabs>
          <w:tab w:val="left" w:pos="1220"/>
          <w:tab w:val="left" w:leader="dot" w:pos="8977"/>
        </w:tabs>
        <w:spacing w:before="355"/>
        <w:rPr>
          <w:rFonts w:ascii="Times New Roman" w:eastAsia="Times New Roman"/>
          <w:b/>
        </w:rPr>
      </w:pPr>
      <w:r>
        <w:fldChar w:fldCharType="begin"/>
      </w:r>
      <w:r>
        <w:instrText xml:space="preserve">HYPERLINK  \l "_bookmark1" </w:instrText>
      </w:r>
      <w:r>
        <w:fldChar w:fldCharType="separate"/>
      </w:r>
      <w:r>
        <w:rPr>
          <w:b/>
          <w:bCs/>
        </w:rPr>
        <w:t>第</w:t>
      </w:r>
      <w:r>
        <w:rPr>
          <w:b/>
          <w:bCs/>
          <w:spacing w:val="-3"/>
        </w:rPr>
        <w:t>一</w:t>
      </w:r>
      <w:r>
        <w:rPr>
          <w:b/>
          <w:bCs/>
        </w:rPr>
        <w:t>章</w:t>
      </w:r>
      <w:r>
        <w:rPr>
          <w:b/>
          <w:bCs/>
        </w:rPr>
        <w:tab/>
      </w:r>
      <w:r>
        <w:rPr>
          <w:b/>
          <w:bCs/>
        </w:rPr>
        <w:t>现</w:t>
      </w:r>
      <w:r>
        <w:rPr>
          <w:b/>
          <w:bCs/>
          <w:spacing w:val="-3"/>
        </w:rPr>
        <w:t>状</w:t>
      </w:r>
      <w:r>
        <w:rPr>
          <w:b/>
          <w:bCs/>
        </w:rPr>
        <w:t>与形势</w:t>
      </w:r>
      <w:r>
        <w:tab/>
      </w:r>
      <w:r>
        <w:rPr>
          <w:rFonts w:ascii="Times New Roman" w:eastAsia="Times New Roman"/>
          <w:b/>
        </w:rPr>
        <w:t>1</w:t>
      </w:r>
      <w:r>
        <w:fldChar w:fldCharType="end"/>
      </w:r>
    </w:p>
    <w:p w14:paraId="2E1BAB94">
      <w:pPr>
        <w:pStyle w:val="7"/>
        <w:tabs>
          <w:tab w:val="left" w:leader="dot" w:pos="8977"/>
        </w:tabs>
        <w:spacing w:before="373"/>
        <w:ind w:left="0" w:leftChars="0" w:firstLine="0" w:firstLineChars="0"/>
        <w:rPr>
          <w:rFonts w:ascii="Times New Roman" w:eastAsia="Times New Roman"/>
        </w:rPr>
      </w:pPr>
      <w:r>
        <w:rPr>
          <w:rFonts w:hint="eastAsia"/>
          <w:lang w:val="en-US" w:eastAsia="zh-CN"/>
        </w:rPr>
        <w:t xml:space="preserve">  </w:t>
      </w:r>
      <w:r>
        <w:fldChar w:fldCharType="begin"/>
      </w:r>
      <w:r>
        <w:instrText xml:space="preserve">HYPERLINK  \l "_bookmark2" </w:instrText>
      </w:r>
      <w:r>
        <w:fldChar w:fldCharType="separate"/>
      </w:r>
      <w:r>
        <w:t>第</w:t>
      </w:r>
      <w:r>
        <w:rPr>
          <w:spacing w:val="-3"/>
        </w:rPr>
        <w:t>一</w:t>
      </w:r>
      <w:r>
        <w:t>节</w:t>
      </w:r>
      <w:r>
        <w:rPr>
          <w:spacing w:val="-26"/>
        </w:rPr>
        <w:t xml:space="preserve"> </w:t>
      </w:r>
      <w:r>
        <w:t>自</w:t>
      </w:r>
      <w:r>
        <w:rPr>
          <w:spacing w:val="-3"/>
        </w:rPr>
        <w:t>然</w:t>
      </w:r>
      <w:r>
        <w:t>地理</w:t>
      </w:r>
      <w:r>
        <w:rPr>
          <w:spacing w:val="-3"/>
        </w:rPr>
        <w:t>与</w:t>
      </w:r>
      <w:r>
        <w:t>经济</w:t>
      </w:r>
      <w:r>
        <w:rPr>
          <w:spacing w:val="-3"/>
        </w:rPr>
        <w:t>社</w:t>
      </w:r>
      <w:r>
        <w:t>会发</w:t>
      </w:r>
      <w:r>
        <w:rPr>
          <w:spacing w:val="-3"/>
        </w:rPr>
        <w:t>展</w:t>
      </w:r>
      <w:r>
        <w:t>概况</w:t>
      </w:r>
      <w:r>
        <w:tab/>
      </w:r>
      <w:r>
        <w:rPr>
          <w:rFonts w:ascii="Times New Roman" w:eastAsia="Times New Roman"/>
        </w:rPr>
        <w:t>1</w:t>
      </w:r>
      <w:r>
        <w:fldChar w:fldCharType="end"/>
      </w:r>
    </w:p>
    <w:p w14:paraId="54A913B4">
      <w:pPr>
        <w:pStyle w:val="7"/>
        <w:tabs>
          <w:tab w:val="left" w:leader="dot" w:pos="8977"/>
        </w:tabs>
        <w:spacing w:before="266"/>
        <w:ind w:left="0" w:leftChars="0" w:firstLine="0" w:firstLineChars="0"/>
        <w:rPr>
          <w:rFonts w:ascii="Times New Roman" w:eastAsia="Times New Roman"/>
        </w:rPr>
      </w:pPr>
      <w:r>
        <w:rPr>
          <w:rFonts w:hint="eastAsia"/>
          <w:lang w:val="en-US" w:eastAsia="zh-CN"/>
        </w:rPr>
        <w:t xml:space="preserve">  </w:t>
      </w:r>
      <w:r>
        <w:fldChar w:fldCharType="begin"/>
      </w:r>
      <w:r>
        <w:instrText xml:space="preserve">HYPERLINK  \l "_bookmark3" </w:instrText>
      </w:r>
      <w:r>
        <w:fldChar w:fldCharType="separate"/>
      </w:r>
      <w:r>
        <w:t>第</w:t>
      </w:r>
      <w:r>
        <w:rPr>
          <w:spacing w:val="-3"/>
        </w:rPr>
        <w:t>二</w:t>
      </w:r>
      <w:r>
        <w:t>节</w:t>
      </w:r>
      <w:r>
        <w:rPr>
          <w:spacing w:val="-27"/>
        </w:rPr>
        <w:t xml:space="preserve"> </w:t>
      </w:r>
      <w:r>
        <w:t>矿</w:t>
      </w:r>
      <w:r>
        <w:rPr>
          <w:spacing w:val="-3"/>
        </w:rPr>
        <w:t>产</w:t>
      </w:r>
      <w:r>
        <w:t>资源</w:t>
      </w:r>
      <w:r>
        <w:rPr>
          <w:spacing w:val="-3"/>
        </w:rPr>
        <w:t>概</w:t>
      </w:r>
      <w:r>
        <w:t>况</w:t>
      </w:r>
      <w:r>
        <w:tab/>
      </w:r>
      <w:r>
        <w:rPr>
          <w:rFonts w:ascii="Times New Roman" w:eastAsia="Times New Roman"/>
        </w:rPr>
        <w:t>1</w:t>
      </w:r>
      <w:r>
        <w:fldChar w:fldCharType="end"/>
      </w:r>
    </w:p>
    <w:p w14:paraId="7AFBC210">
      <w:pPr>
        <w:pStyle w:val="7"/>
        <w:tabs>
          <w:tab w:val="left" w:pos="1374"/>
          <w:tab w:val="left" w:leader="dot" w:pos="8977"/>
        </w:tabs>
        <w:ind w:left="0" w:leftChars="0" w:firstLine="0" w:firstLineChars="0"/>
        <w:rPr>
          <w:rFonts w:ascii="Times New Roman" w:eastAsia="Times New Roman"/>
        </w:rPr>
      </w:pPr>
      <w:r>
        <w:rPr>
          <w:rFonts w:hint="eastAsia"/>
          <w:lang w:val="en-US" w:eastAsia="zh-CN"/>
        </w:rPr>
        <w:t xml:space="preserve">  </w:t>
      </w:r>
      <w:r>
        <w:fldChar w:fldCharType="begin"/>
      </w:r>
      <w:r>
        <w:instrText xml:space="preserve">HYPERLINK  \l "_bookmark4" </w:instrText>
      </w:r>
      <w:r>
        <w:fldChar w:fldCharType="separate"/>
      </w:r>
      <w:r>
        <w:t>第</w:t>
      </w:r>
      <w:r>
        <w:rPr>
          <w:spacing w:val="-3"/>
        </w:rPr>
        <w:t>三</w:t>
      </w:r>
      <w:r>
        <w:t>节</w:t>
      </w:r>
      <w:r>
        <w:tab/>
      </w:r>
      <w:r>
        <w:t>形</w:t>
      </w:r>
      <w:r>
        <w:rPr>
          <w:spacing w:val="-3"/>
        </w:rPr>
        <w:t>势</w:t>
      </w:r>
      <w:r>
        <w:t>与要求</w:t>
      </w:r>
      <w:r>
        <w:tab/>
      </w:r>
      <w:r>
        <w:rPr>
          <w:rFonts w:ascii="Times New Roman" w:eastAsia="Times New Roman"/>
        </w:rPr>
        <w:t>6</w:t>
      </w:r>
      <w:r>
        <w:fldChar w:fldCharType="end"/>
      </w:r>
    </w:p>
    <w:p w14:paraId="3D0D5BC9">
      <w:pPr>
        <w:pStyle w:val="6"/>
        <w:tabs>
          <w:tab w:val="left" w:pos="1220"/>
          <w:tab w:val="left" w:leader="dot" w:pos="8977"/>
        </w:tabs>
        <w:rPr>
          <w:rFonts w:ascii="Times New Roman" w:eastAsia="Times New Roman"/>
          <w:b/>
        </w:rPr>
      </w:pPr>
      <w:r>
        <w:fldChar w:fldCharType="begin"/>
      </w:r>
      <w:r>
        <w:instrText xml:space="preserve">HYPERLINK  \l "_bookmark5" </w:instrText>
      </w:r>
      <w:r>
        <w:fldChar w:fldCharType="separate"/>
      </w:r>
      <w:r>
        <w:rPr>
          <w:b/>
          <w:bCs/>
        </w:rPr>
        <w:t>第二章</w:t>
      </w:r>
      <w:r>
        <w:rPr>
          <w:b/>
          <w:bCs/>
        </w:rPr>
        <w:tab/>
      </w:r>
      <w:r>
        <w:rPr>
          <w:b/>
          <w:bCs/>
        </w:rPr>
        <w:t>指导原则与目标</w:t>
      </w:r>
      <w:r>
        <w:tab/>
      </w:r>
      <w:r>
        <w:rPr>
          <w:rFonts w:ascii="Times New Roman" w:eastAsia="Times New Roman"/>
          <w:b/>
        </w:rPr>
        <w:t>8</w:t>
      </w:r>
      <w:r>
        <w:fldChar w:fldCharType="end"/>
      </w:r>
    </w:p>
    <w:p w14:paraId="59BE201D">
      <w:pPr>
        <w:pStyle w:val="7"/>
        <w:tabs>
          <w:tab w:val="left" w:pos="1374"/>
          <w:tab w:val="left" w:leader="dot" w:pos="8977"/>
        </w:tabs>
        <w:spacing w:before="373"/>
        <w:ind w:left="0" w:leftChars="0" w:firstLine="0" w:firstLineChars="0"/>
        <w:rPr>
          <w:rFonts w:ascii="Times New Roman" w:eastAsia="Times New Roman"/>
        </w:rPr>
      </w:pPr>
      <w:r>
        <w:rPr>
          <w:rFonts w:hint="eastAsia"/>
          <w:lang w:val="en-US" w:eastAsia="zh-CN"/>
        </w:rPr>
        <w:t xml:space="preserve">  </w:t>
      </w:r>
      <w:r>
        <w:fldChar w:fldCharType="begin"/>
      </w:r>
      <w:r>
        <w:instrText xml:space="preserve">HYPERLINK  \l "_bookmark6" </w:instrText>
      </w:r>
      <w:r>
        <w:fldChar w:fldCharType="separate"/>
      </w:r>
      <w:r>
        <w:t>第</w:t>
      </w:r>
      <w:r>
        <w:rPr>
          <w:spacing w:val="-3"/>
        </w:rPr>
        <w:t>一</w:t>
      </w:r>
      <w:r>
        <w:t>节</w:t>
      </w:r>
      <w:r>
        <w:tab/>
      </w:r>
      <w:r>
        <w:t>指</w:t>
      </w:r>
      <w:r>
        <w:rPr>
          <w:spacing w:val="-3"/>
        </w:rPr>
        <w:t>导</w:t>
      </w:r>
      <w:r>
        <w:t>思想</w:t>
      </w:r>
      <w:r>
        <w:tab/>
      </w:r>
      <w:r>
        <w:rPr>
          <w:rFonts w:ascii="Times New Roman" w:eastAsia="Times New Roman"/>
        </w:rPr>
        <w:t>8</w:t>
      </w:r>
      <w:r>
        <w:fldChar w:fldCharType="end"/>
      </w:r>
    </w:p>
    <w:p w14:paraId="0021554B">
      <w:pPr>
        <w:pStyle w:val="7"/>
        <w:tabs>
          <w:tab w:val="left" w:pos="1374"/>
          <w:tab w:val="left" w:leader="dot" w:pos="8977"/>
        </w:tabs>
        <w:spacing w:before="266"/>
        <w:ind w:left="0" w:leftChars="0" w:firstLine="0" w:firstLineChars="0"/>
        <w:rPr>
          <w:rFonts w:ascii="Times New Roman" w:eastAsia="Times New Roman"/>
        </w:rPr>
      </w:pPr>
      <w:r>
        <w:rPr>
          <w:rFonts w:hint="eastAsia"/>
          <w:lang w:val="en-US" w:eastAsia="zh-CN"/>
        </w:rPr>
        <w:t xml:space="preserve">  </w:t>
      </w:r>
      <w:r>
        <w:fldChar w:fldCharType="begin"/>
      </w:r>
      <w:r>
        <w:instrText xml:space="preserve">HYPERLINK  \l "_bookmark7" </w:instrText>
      </w:r>
      <w:r>
        <w:fldChar w:fldCharType="separate"/>
      </w:r>
      <w:r>
        <w:t>第</w:t>
      </w:r>
      <w:r>
        <w:rPr>
          <w:spacing w:val="-3"/>
        </w:rPr>
        <w:t>二</w:t>
      </w:r>
      <w:r>
        <w:t>节</w:t>
      </w:r>
      <w:r>
        <w:tab/>
      </w:r>
      <w:r>
        <w:t>基</w:t>
      </w:r>
      <w:r>
        <w:rPr>
          <w:spacing w:val="-3"/>
        </w:rPr>
        <w:t>本</w:t>
      </w:r>
      <w:r>
        <w:t>原则</w:t>
      </w:r>
      <w:r>
        <w:tab/>
      </w:r>
      <w:r>
        <w:rPr>
          <w:rFonts w:ascii="Times New Roman" w:eastAsia="Times New Roman"/>
        </w:rPr>
        <w:t>8</w:t>
      </w:r>
      <w:r>
        <w:fldChar w:fldCharType="end"/>
      </w:r>
    </w:p>
    <w:p w14:paraId="7D67C5CB">
      <w:pPr>
        <w:pStyle w:val="7"/>
        <w:tabs>
          <w:tab w:val="left" w:pos="1374"/>
          <w:tab w:val="left" w:leader="dot" w:pos="8977"/>
        </w:tabs>
        <w:ind w:left="0" w:leftChars="0" w:firstLine="0" w:firstLineChars="0"/>
        <w:rPr>
          <w:rFonts w:ascii="Times New Roman" w:eastAsia="Times New Roman"/>
        </w:rPr>
      </w:pPr>
      <w:r>
        <w:rPr>
          <w:rFonts w:hint="eastAsia"/>
          <w:lang w:val="en-US" w:eastAsia="zh-CN"/>
        </w:rPr>
        <w:t xml:space="preserve">  </w:t>
      </w:r>
      <w:r>
        <w:fldChar w:fldCharType="begin"/>
      </w:r>
      <w:r>
        <w:instrText xml:space="preserve">HYPERLINK  \l "_bookmark8" </w:instrText>
      </w:r>
      <w:r>
        <w:fldChar w:fldCharType="separate"/>
      </w:r>
      <w:r>
        <w:t>第</w:t>
      </w:r>
      <w:r>
        <w:rPr>
          <w:spacing w:val="-3"/>
        </w:rPr>
        <w:t>三</w:t>
      </w:r>
      <w:r>
        <w:t>节</w:t>
      </w:r>
      <w:r>
        <w:tab/>
      </w:r>
      <w:r>
        <w:t>规</w:t>
      </w:r>
      <w:r>
        <w:rPr>
          <w:spacing w:val="-3"/>
        </w:rPr>
        <w:t>划</w:t>
      </w:r>
      <w:r>
        <w:t>目标</w:t>
      </w:r>
      <w:r>
        <w:tab/>
      </w:r>
      <w:r>
        <w:rPr>
          <w:rFonts w:ascii="Times New Roman" w:eastAsia="Times New Roman"/>
        </w:rPr>
        <w:t>9</w:t>
      </w:r>
      <w:r>
        <w:fldChar w:fldCharType="end"/>
      </w:r>
    </w:p>
    <w:p w14:paraId="6760BC51">
      <w:pPr>
        <w:pStyle w:val="6"/>
        <w:tabs>
          <w:tab w:val="left" w:pos="1220"/>
          <w:tab w:val="left" w:leader="dot" w:pos="8852"/>
        </w:tabs>
        <w:rPr>
          <w:rFonts w:ascii="Times New Roman" w:eastAsia="Times New Roman"/>
          <w:b/>
        </w:rPr>
      </w:pPr>
      <w:r>
        <w:fldChar w:fldCharType="begin"/>
      </w:r>
      <w:r>
        <w:instrText xml:space="preserve">HYPERLINK  \l "_bookmark9" </w:instrText>
      </w:r>
      <w:r>
        <w:fldChar w:fldCharType="separate"/>
      </w:r>
      <w:r>
        <w:rPr>
          <w:b/>
          <w:bCs/>
        </w:rPr>
        <w:t>第三章</w:t>
      </w:r>
      <w:r>
        <w:rPr>
          <w:b/>
          <w:bCs/>
        </w:rPr>
        <w:tab/>
      </w:r>
      <w:r>
        <w:rPr>
          <w:b/>
          <w:bCs/>
        </w:rPr>
        <w:t>矿产资源勘查开发与保护布局</w:t>
      </w:r>
      <w:r>
        <w:tab/>
      </w:r>
      <w:r>
        <w:rPr>
          <w:rFonts w:ascii="Times New Roman" w:eastAsia="Times New Roman"/>
          <w:b/>
          <w:spacing w:val="-7"/>
        </w:rPr>
        <w:t>11</w:t>
      </w:r>
      <w:r>
        <w:fldChar w:fldCharType="end"/>
      </w:r>
    </w:p>
    <w:p w14:paraId="6A220675">
      <w:pPr>
        <w:pStyle w:val="7"/>
        <w:tabs>
          <w:tab w:val="left" w:leader="dot" w:pos="8847"/>
        </w:tabs>
        <w:spacing w:before="373"/>
        <w:ind w:left="0" w:leftChars="0" w:firstLine="0" w:firstLineChars="0"/>
        <w:rPr>
          <w:rFonts w:ascii="Times New Roman" w:eastAsia="Times New Roman"/>
        </w:rPr>
      </w:pPr>
      <w:r>
        <w:rPr>
          <w:rFonts w:hint="eastAsia"/>
          <w:lang w:val="en-US" w:eastAsia="zh-CN"/>
        </w:rPr>
        <w:t xml:space="preserve">  </w:t>
      </w:r>
      <w:r>
        <w:fldChar w:fldCharType="begin"/>
      </w:r>
      <w:r>
        <w:instrText xml:space="preserve">HYPERLINK  \l "_bookmark10" </w:instrText>
      </w:r>
      <w:r>
        <w:fldChar w:fldCharType="separate"/>
      </w:r>
      <w:r>
        <w:t>第</w:t>
      </w:r>
      <w:r>
        <w:rPr>
          <w:spacing w:val="-3"/>
        </w:rPr>
        <w:t>一</w:t>
      </w:r>
      <w:r>
        <w:t>节</w:t>
      </w:r>
      <w:r>
        <w:rPr>
          <w:spacing w:val="-25"/>
        </w:rPr>
        <w:t xml:space="preserve"> </w:t>
      </w:r>
      <w:r>
        <w:t>推</w:t>
      </w:r>
      <w:r>
        <w:rPr>
          <w:spacing w:val="-3"/>
        </w:rPr>
        <w:t>进</w:t>
      </w:r>
      <w:r>
        <w:t>矿产</w:t>
      </w:r>
      <w:r>
        <w:rPr>
          <w:spacing w:val="-3"/>
        </w:rPr>
        <w:t>资</w:t>
      </w:r>
      <w:r>
        <w:t>源勘</w:t>
      </w:r>
      <w:r>
        <w:rPr>
          <w:spacing w:val="-3"/>
        </w:rPr>
        <w:t>查</w:t>
      </w:r>
      <w:r>
        <w:t>开发</w:t>
      </w:r>
      <w:r>
        <w:rPr>
          <w:spacing w:val="-3"/>
        </w:rPr>
        <w:t>与</w:t>
      </w:r>
      <w:r>
        <w:t>环境</w:t>
      </w:r>
      <w:r>
        <w:rPr>
          <w:spacing w:val="-3"/>
        </w:rPr>
        <w:t>保</w:t>
      </w:r>
      <w:r>
        <w:t>护协</w:t>
      </w:r>
      <w:r>
        <w:rPr>
          <w:spacing w:val="-3"/>
        </w:rPr>
        <w:t>调</w:t>
      </w:r>
      <w:r>
        <w:t>发展</w:t>
      </w:r>
      <w:r>
        <w:tab/>
      </w:r>
      <w:r>
        <w:rPr>
          <w:rFonts w:ascii="Times New Roman" w:eastAsia="Times New Roman"/>
          <w:spacing w:val="-4"/>
        </w:rPr>
        <w:t>11</w:t>
      </w:r>
      <w:r>
        <w:fldChar w:fldCharType="end"/>
      </w:r>
    </w:p>
    <w:p w14:paraId="3F1997D5">
      <w:pPr>
        <w:pStyle w:val="7"/>
        <w:tabs>
          <w:tab w:val="left" w:leader="dot" w:pos="8847"/>
        </w:tabs>
        <w:spacing w:before="266"/>
        <w:ind w:left="0" w:leftChars="0" w:firstLine="0" w:firstLineChars="0"/>
        <w:rPr>
          <w:rFonts w:ascii="Times New Roman" w:eastAsia="Times New Roman"/>
        </w:rPr>
      </w:pPr>
      <w:r>
        <w:rPr>
          <w:rFonts w:hint="eastAsia"/>
          <w:lang w:val="en-US" w:eastAsia="zh-CN"/>
        </w:rPr>
        <w:t xml:space="preserve">  </w:t>
      </w:r>
      <w:r>
        <w:fldChar w:fldCharType="begin"/>
      </w:r>
      <w:r>
        <w:instrText xml:space="preserve">HYPERLINK  \l "_bookmark11" </w:instrText>
      </w:r>
      <w:r>
        <w:fldChar w:fldCharType="separate"/>
      </w:r>
      <w:r>
        <w:t>第</w:t>
      </w:r>
      <w:r>
        <w:rPr>
          <w:spacing w:val="-3"/>
        </w:rPr>
        <w:t>二</w:t>
      </w:r>
      <w:r>
        <w:t>节</w:t>
      </w:r>
      <w:r>
        <w:rPr>
          <w:spacing w:val="-26"/>
        </w:rPr>
        <w:t xml:space="preserve"> </w:t>
      </w:r>
      <w:r>
        <w:t>合</w:t>
      </w:r>
      <w:r>
        <w:rPr>
          <w:spacing w:val="-3"/>
        </w:rPr>
        <w:t>理</w:t>
      </w:r>
      <w:r>
        <w:t>布局</w:t>
      </w:r>
      <w:r>
        <w:rPr>
          <w:spacing w:val="-3"/>
        </w:rPr>
        <w:t>矿</w:t>
      </w:r>
      <w:r>
        <w:t>产资</w:t>
      </w:r>
      <w:r>
        <w:rPr>
          <w:spacing w:val="-3"/>
        </w:rPr>
        <w:t>源</w:t>
      </w:r>
      <w:r>
        <w:t>产业</w:t>
      </w:r>
      <w:r>
        <w:rPr>
          <w:spacing w:val="-3"/>
        </w:rPr>
        <w:t>重</w:t>
      </w:r>
      <w:r>
        <w:t>点发</w:t>
      </w:r>
      <w:r>
        <w:rPr>
          <w:spacing w:val="-3"/>
        </w:rPr>
        <w:t>展</w:t>
      </w:r>
      <w:r>
        <w:t>区域</w:t>
      </w:r>
      <w:r>
        <w:tab/>
      </w:r>
      <w:r>
        <w:rPr>
          <w:rFonts w:ascii="Times New Roman" w:eastAsia="Times New Roman"/>
          <w:spacing w:val="-4"/>
        </w:rPr>
        <w:t>11</w:t>
      </w:r>
      <w:r>
        <w:fldChar w:fldCharType="end"/>
      </w:r>
    </w:p>
    <w:p w14:paraId="434BF04F">
      <w:pPr>
        <w:pStyle w:val="7"/>
        <w:tabs>
          <w:tab w:val="left" w:leader="dot" w:pos="8835"/>
        </w:tabs>
        <w:ind w:left="0" w:leftChars="0" w:firstLine="0" w:firstLineChars="0"/>
        <w:rPr>
          <w:rFonts w:ascii="Times New Roman" w:eastAsia="Times New Roman"/>
        </w:rPr>
      </w:pPr>
      <w:r>
        <w:rPr>
          <w:rFonts w:hint="eastAsia"/>
          <w:lang w:val="en-US" w:eastAsia="zh-CN"/>
        </w:rPr>
        <w:t xml:space="preserve">  </w:t>
      </w:r>
      <w:r>
        <w:fldChar w:fldCharType="begin"/>
      </w:r>
      <w:r>
        <w:instrText xml:space="preserve">HYPERLINK  \l "_bookmark12" </w:instrText>
      </w:r>
      <w:r>
        <w:fldChar w:fldCharType="separate"/>
      </w:r>
      <w:r>
        <w:t>第</w:t>
      </w:r>
      <w:r>
        <w:rPr>
          <w:spacing w:val="-3"/>
        </w:rPr>
        <w:t>三</w:t>
      </w:r>
      <w:r>
        <w:t>节</w:t>
      </w:r>
      <w:r>
        <w:rPr>
          <w:spacing w:val="-26"/>
        </w:rPr>
        <w:t xml:space="preserve"> </w:t>
      </w:r>
      <w:r>
        <w:t>优</w:t>
      </w:r>
      <w:r>
        <w:rPr>
          <w:spacing w:val="-3"/>
        </w:rPr>
        <w:t>化</w:t>
      </w:r>
      <w:r>
        <w:t>勘查</w:t>
      </w:r>
      <w:r>
        <w:rPr>
          <w:spacing w:val="-3"/>
        </w:rPr>
        <w:t>开</w:t>
      </w:r>
      <w:r>
        <w:t>采与</w:t>
      </w:r>
      <w:r>
        <w:rPr>
          <w:spacing w:val="-3"/>
        </w:rPr>
        <w:t>保</w:t>
      </w:r>
      <w:r>
        <w:t>护布局</w:t>
      </w:r>
      <w:r>
        <w:tab/>
      </w:r>
      <w:r>
        <w:rPr>
          <w:rFonts w:ascii="Times New Roman" w:eastAsia="Times New Roman"/>
        </w:rPr>
        <w:t>12</w:t>
      </w:r>
      <w:r>
        <w:fldChar w:fldCharType="end"/>
      </w:r>
    </w:p>
    <w:p w14:paraId="38B09134">
      <w:pPr>
        <w:pStyle w:val="7"/>
        <w:tabs>
          <w:tab w:val="left" w:leader="dot" w:pos="8835"/>
        </w:tabs>
        <w:ind w:left="0" w:leftChars="0" w:firstLine="0" w:firstLineChars="0"/>
        <w:rPr>
          <w:rFonts w:ascii="Times New Roman" w:eastAsia="Times New Roman"/>
        </w:rPr>
      </w:pPr>
      <w:r>
        <w:rPr>
          <w:rFonts w:hint="eastAsia"/>
          <w:lang w:val="en-US" w:eastAsia="zh-CN"/>
        </w:rPr>
        <w:t xml:space="preserve">  </w:t>
      </w:r>
      <w:r>
        <w:fldChar w:fldCharType="begin"/>
      </w:r>
      <w:r>
        <w:instrText xml:space="preserve">HYPERLINK  \l "_bookmark13" </w:instrText>
      </w:r>
      <w:r>
        <w:fldChar w:fldCharType="separate"/>
      </w:r>
      <w:r>
        <w:t>第</w:t>
      </w:r>
      <w:r>
        <w:rPr>
          <w:spacing w:val="-3"/>
        </w:rPr>
        <w:t>四</w:t>
      </w:r>
      <w:r>
        <w:t>节</w:t>
      </w:r>
      <w:r>
        <w:rPr>
          <w:spacing w:val="-27"/>
        </w:rPr>
        <w:t xml:space="preserve"> </w:t>
      </w:r>
      <w:r>
        <w:t>划</w:t>
      </w:r>
      <w:r>
        <w:rPr>
          <w:spacing w:val="-3"/>
        </w:rPr>
        <w:t>定</w:t>
      </w:r>
      <w:r>
        <w:t>勘查</w:t>
      </w:r>
      <w:r>
        <w:rPr>
          <w:spacing w:val="-3"/>
        </w:rPr>
        <w:t>规</w:t>
      </w:r>
      <w:r>
        <w:t>划区块</w:t>
      </w:r>
      <w:r>
        <w:tab/>
      </w:r>
      <w:r>
        <w:rPr>
          <w:rFonts w:ascii="Times New Roman" w:eastAsia="Times New Roman"/>
        </w:rPr>
        <w:t>13</w:t>
      </w:r>
      <w:r>
        <w:fldChar w:fldCharType="end"/>
      </w:r>
    </w:p>
    <w:p w14:paraId="0DC8F0D0">
      <w:pPr>
        <w:pStyle w:val="7"/>
        <w:tabs>
          <w:tab w:val="left" w:leader="dot" w:pos="8835"/>
        </w:tabs>
        <w:ind w:left="0" w:leftChars="0" w:firstLine="0" w:firstLineChars="0"/>
        <w:rPr>
          <w:rFonts w:ascii="Times New Roman" w:eastAsia="Times New Roman"/>
        </w:rPr>
      </w:pPr>
      <w:r>
        <w:rPr>
          <w:rFonts w:hint="eastAsia"/>
          <w:lang w:val="en-US" w:eastAsia="zh-CN"/>
        </w:rPr>
        <w:t xml:space="preserve">  </w:t>
      </w:r>
      <w:r>
        <w:fldChar w:fldCharType="begin"/>
      </w:r>
      <w:r>
        <w:instrText xml:space="preserve">HYPERLINK  \l "_bookmark14" </w:instrText>
      </w:r>
      <w:r>
        <w:fldChar w:fldCharType="separate"/>
      </w:r>
      <w:r>
        <w:t>第</w:t>
      </w:r>
      <w:r>
        <w:rPr>
          <w:spacing w:val="-3"/>
        </w:rPr>
        <w:t>五</w:t>
      </w:r>
      <w:r>
        <w:t>节</w:t>
      </w:r>
      <w:r>
        <w:rPr>
          <w:spacing w:val="-27"/>
        </w:rPr>
        <w:t xml:space="preserve"> </w:t>
      </w:r>
      <w:r>
        <w:t>划</w:t>
      </w:r>
      <w:r>
        <w:rPr>
          <w:spacing w:val="-3"/>
        </w:rPr>
        <w:t>定</w:t>
      </w:r>
      <w:r>
        <w:t>开采</w:t>
      </w:r>
      <w:r>
        <w:rPr>
          <w:spacing w:val="-3"/>
        </w:rPr>
        <w:t>规</w:t>
      </w:r>
      <w:r>
        <w:t>划区块</w:t>
      </w:r>
      <w:r>
        <w:tab/>
      </w:r>
      <w:r>
        <w:rPr>
          <w:rFonts w:ascii="Times New Roman" w:eastAsia="Times New Roman"/>
        </w:rPr>
        <w:t>14</w:t>
      </w:r>
      <w:r>
        <w:fldChar w:fldCharType="end"/>
      </w:r>
    </w:p>
    <w:p w14:paraId="4ADC0F87">
      <w:pPr>
        <w:pStyle w:val="6"/>
        <w:tabs>
          <w:tab w:val="left" w:pos="1220"/>
          <w:tab w:val="left" w:leader="dot" w:pos="8835"/>
        </w:tabs>
        <w:spacing w:before="398"/>
        <w:rPr>
          <w:rFonts w:ascii="Times New Roman" w:eastAsia="Times New Roman"/>
          <w:b/>
        </w:rPr>
      </w:pPr>
      <w:r>
        <w:fldChar w:fldCharType="begin"/>
      </w:r>
      <w:r>
        <w:instrText xml:space="preserve">HYPERLINK  \l "_bookmark15" </w:instrText>
      </w:r>
      <w:r>
        <w:fldChar w:fldCharType="separate"/>
      </w:r>
      <w:r>
        <w:rPr>
          <w:b/>
          <w:bCs/>
        </w:rPr>
        <w:t>第四章</w:t>
      </w:r>
      <w:r>
        <w:rPr>
          <w:b/>
          <w:bCs/>
        </w:rPr>
        <w:tab/>
      </w:r>
      <w:r>
        <w:rPr>
          <w:b/>
          <w:bCs/>
        </w:rPr>
        <w:t>矿产资源勘查开发利用与保护</w:t>
      </w:r>
      <w:r>
        <w:tab/>
      </w:r>
      <w:r>
        <w:rPr>
          <w:rFonts w:ascii="Times New Roman" w:eastAsia="Times New Roman"/>
          <w:b/>
        </w:rPr>
        <w:t>15</w:t>
      </w:r>
      <w:r>
        <w:fldChar w:fldCharType="end"/>
      </w:r>
    </w:p>
    <w:p w14:paraId="379566E4">
      <w:pPr>
        <w:pStyle w:val="7"/>
        <w:tabs>
          <w:tab w:val="left" w:leader="dot" w:pos="8835"/>
        </w:tabs>
        <w:spacing w:before="373"/>
        <w:rPr>
          <w:rFonts w:ascii="Times New Roman" w:eastAsia="Times New Roman"/>
        </w:rPr>
      </w:pPr>
      <w:r>
        <w:fldChar w:fldCharType="begin"/>
      </w:r>
      <w:r>
        <w:instrText xml:space="preserve">HYPERLINK  \l "_bookmark16" </w:instrText>
      </w:r>
      <w:r>
        <w:fldChar w:fldCharType="separate"/>
      </w:r>
      <w:r>
        <w:t>第</w:t>
      </w:r>
      <w:r>
        <w:rPr>
          <w:spacing w:val="-3"/>
        </w:rPr>
        <w:t>一</w:t>
      </w:r>
      <w:r>
        <w:t>节</w:t>
      </w:r>
      <w:r>
        <w:rPr>
          <w:spacing w:val="-27"/>
        </w:rPr>
        <w:t xml:space="preserve"> </w:t>
      </w:r>
      <w:r>
        <w:t>合</w:t>
      </w:r>
      <w:r>
        <w:rPr>
          <w:spacing w:val="-3"/>
        </w:rPr>
        <w:t>理</w:t>
      </w:r>
      <w:r>
        <w:t>确定</w:t>
      </w:r>
      <w:r>
        <w:rPr>
          <w:spacing w:val="-3"/>
        </w:rPr>
        <w:t>开</w:t>
      </w:r>
      <w:r>
        <w:t>发强度</w:t>
      </w:r>
      <w:r>
        <w:tab/>
      </w:r>
      <w:r>
        <w:rPr>
          <w:rFonts w:ascii="Times New Roman" w:eastAsia="Times New Roman"/>
        </w:rPr>
        <w:t>15</w:t>
      </w:r>
      <w:r>
        <w:fldChar w:fldCharType="end"/>
      </w:r>
    </w:p>
    <w:p w14:paraId="2B3800C6">
      <w:pPr>
        <w:pStyle w:val="7"/>
        <w:tabs>
          <w:tab w:val="left" w:leader="dot" w:pos="8835"/>
        </w:tabs>
        <w:rPr>
          <w:rFonts w:ascii="Times New Roman" w:eastAsia="Times New Roman"/>
        </w:rPr>
      </w:pPr>
      <w:r>
        <w:fldChar w:fldCharType="begin"/>
      </w:r>
      <w:r>
        <w:instrText xml:space="preserve">HYPERLINK  \l "_bookmark17" </w:instrText>
      </w:r>
      <w:r>
        <w:fldChar w:fldCharType="separate"/>
      </w:r>
      <w:r>
        <w:t>第</w:t>
      </w:r>
      <w:r>
        <w:rPr>
          <w:spacing w:val="-3"/>
        </w:rPr>
        <w:t>二</w:t>
      </w:r>
      <w:r>
        <w:t>节</w:t>
      </w:r>
      <w:r>
        <w:rPr>
          <w:spacing w:val="-26"/>
        </w:rPr>
        <w:t xml:space="preserve"> </w:t>
      </w:r>
      <w:r>
        <w:t>优</w:t>
      </w:r>
      <w:r>
        <w:rPr>
          <w:spacing w:val="-3"/>
        </w:rPr>
        <w:t>化</w:t>
      </w:r>
      <w:r>
        <w:t>调整</w:t>
      </w:r>
      <w:r>
        <w:rPr>
          <w:spacing w:val="-3"/>
        </w:rPr>
        <w:t>开</w:t>
      </w:r>
      <w:r>
        <w:t>发利</w:t>
      </w:r>
      <w:r>
        <w:rPr>
          <w:spacing w:val="-3"/>
        </w:rPr>
        <w:t>用</w:t>
      </w:r>
      <w:r>
        <w:t>结构</w:t>
      </w:r>
      <w:r>
        <w:rPr>
          <w:spacing w:val="-3"/>
        </w:rPr>
        <w:t>和</w:t>
      </w:r>
      <w:r>
        <w:t>规模</w:t>
      </w:r>
      <w:r>
        <w:tab/>
      </w:r>
      <w:r>
        <w:rPr>
          <w:rFonts w:ascii="Times New Roman" w:eastAsia="Times New Roman"/>
        </w:rPr>
        <w:t>15</w:t>
      </w:r>
      <w:r>
        <w:fldChar w:fldCharType="end"/>
      </w:r>
    </w:p>
    <w:p w14:paraId="7E1CD23D">
      <w:pPr>
        <w:pStyle w:val="7"/>
        <w:tabs>
          <w:tab w:val="left" w:leader="dot" w:pos="8835"/>
        </w:tabs>
        <w:spacing w:after="20"/>
        <w:rPr>
          <w:rFonts w:ascii="Times New Roman" w:eastAsia="Times New Roman"/>
        </w:rPr>
      </w:pPr>
      <w:r>
        <w:fldChar w:fldCharType="begin"/>
      </w:r>
      <w:r>
        <w:instrText xml:space="preserve">HYPERLINK  \l "_bookmark18" </w:instrText>
      </w:r>
      <w:r>
        <w:fldChar w:fldCharType="separate"/>
      </w:r>
      <w:r>
        <w:t>第</w:t>
      </w:r>
      <w:r>
        <w:rPr>
          <w:spacing w:val="-3"/>
        </w:rPr>
        <w:t>三</w:t>
      </w:r>
      <w:r>
        <w:t>节</w:t>
      </w:r>
      <w:r>
        <w:rPr>
          <w:spacing w:val="-27"/>
        </w:rPr>
        <w:t xml:space="preserve"> </w:t>
      </w:r>
      <w:r>
        <w:t>严</w:t>
      </w:r>
      <w:r>
        <w:rPr>
          <w:spacing w:val="-3"/>
        </w:rPr>
        <w:t>格</w:t>
      </w:r>
      <w:r>
        <w:t>规划</w:t>
      </w:r>
      <w:r>
        <w:rPr>
          <w:spacing w:val="-3"/>
        </w:rPr>
        <w:t>准</w:t>
      </w:r>
      <w:r>
        <w:t>入管理</w:t>
      </w:r>
      <w:r>
        <w:tab/>
      </w:r>
      <w:r>
        <w:rPr>
          <w:rFonts w:ascii="Times New Roman" w:eastAsia="Times New Roman"/>
        </w:rPr>
        <w:t>16</w:t>
      </w:r>
      <w:r>
        <w:fldChar w:fldCharType="end"/>
      </w:r>
    </w:p>
    <w:p w14:paraId="007D4DD2">
      <w:pPr>
        <w:pStyle w:val="6"/>
        <w:tabs>
          <w:tab w:val="left" w:pos="1220"/>
          <w:tab w:val="right" w:leader="dot" w:pos="9118"/>
        </w:tabs>
        <w:spacing w:before="93"/>
        <w:rPr>
          <w:rFonts w:ascii="Times New Roman" w:eastAsia="Times New Roman"/>
          <w:b/>
        </w:rPr>
      </w:pPr>
      <w:r>
        <w:fldChar w:fldCharType="begin"/>
      </w:r>
      <w:r>
        <w:instrText xml:space="preserve">HYPERLINK  \l "_bookmark19" </w:instrText>
      </w:r>
      <w:r>
        <w:fldChar w:fldCharType="separate"/>
      </w:r>
      <w:r>
        <w:rPr>
          <w:b/>
          <w:bCs/>
        </w:rPr>
        <w:t>第五章</w:t>
      </w:r>
      <w:r>
        <w:rPr>
          <w:b/>
          <w:bCs/>
        </w:rPr>
        <w:tab/>
      </w:r>
      <w:r>
        <w:rPr>
          <w:b/>
          <w:bCs/>
        </w:rPr>
        <w:t>矿业绿色发展</w:t>
      </w:r>
      <w:r>
        <w:tab/>
      </w:r>
      <w:r>
        <w:rPr>
          <w:rFonts w:ascii="Times New Roman" w:eastAsia="Times New Roman"/>
          <w:b/>
        </w:rPr>
        <w:t>18</w:t>
      </w:r>
      <w:r>
        <w:fldChar w:fldCharType="end"/>
      </w:r>
    </w:p>
    <w:p w14:paraId="7876DCE7">
      <w:pPr>
        <w:pStyle w:val="7"/>
        <w:tabs>
          <w:tab w:val="right" w:leader="dot" w:pos="9118"/>
        </w:tabs>
        <w:spacing w:before="373"/>
        <w:rPr>
          <w:rFonts w:ascii="Times New Roman" w:eastAsia="Times New Roman"/>
        </w:rPr>
      </w:pPr>
      <w:r>
        <w:fldChar w:fldCharType="begin"/>
      </w:r>
      <w:r>
        <w:instrText xml:space="preserve">HYPERLINK  \l "_bookmark20" </w:instrText>
      </w:r>
      <w:r>
        <w:fldChar w:fldCharType="separate"/>
      </w:r>
      <w:r>
        <w:t>第</w:t>
      </w:r>
      <w:r>
        <w:rPr>
          <w:spacing w:val="-3"/>
        </w:rPr>
        <w:t>一</w:t>
      </w:r>
      <w:r>
        <w:t>节</w:t>
      </w:r>
      <w:r>
        <w:rPr>
          <w:spacing w:val="-28"/>
        </w:rPr>
        <w:t xml:space="preserve"> </w:t>
      </w:r>
      <w:r>
        <w:t>加</w:t>
      </w:r>
      <w:r>
        <w:rPr>
          <w:spacing w:val="-3"/>
        </w:rPr>
        <w:t>快</w:t>
      </w:r>
      <w:r>
        <w:t>推进</w:t>
      </w:r>
      <w:r>
        <w:rPr>
          <w:spacing w:val="-3"/>
        </w:rPr>
        <w:t>绿</w:t>
      </w:r>
      <w:r>
        <w:t>色矿</w:t>
      </w:r>
      <w:r>
        <w:rPr>
          <w:spacing w:val="-3"/>
        </w:rPr>
        <w:t>山</w:t>
      </w:r>
      <w:r>
        <w:t>建设</w:t>
      </w:r>
      <w:r>
        <w:tab/>
      </w:r>
      <w:r>
        <w:rPr>
          <w:rFonts w:ascii="Times New Roman" w:eastAsia="Times New Roman"/>
        </w:rPr>
        <w:t>18</w:t>
      </w:r>
      <w:r>
        <w:fldChar w:fldCharType="end"/>
      </w:r>
    </w:p>
    <w:p w14:paraId="676AE86F">
      <w:pPr>
        <w:pStyle w:val="7"/>
        <w:tabs>
          <w:tab w:val="right" w:leader="dot" w:pos="9118"/>
        </w:tabs>
        <w:rPr>
          <w:rFonts w:ascii="Times New Roman" w:eastAsia="Times New Roman"/>
        </w:rPr>
      </w:pPr>
      <w:r>
        <w:fldChar w:fldCharType="begin"/>
      </w:r>
      <w:r>
        <w:instrText xml:space="preserve">HYPERLINK  \l "_bookmark21" </w:instrText>
      </w:r>
      <w:r>
        <w:fldChar w:fldCharType="separate"/>
      </w:r>
      <w:r>
        <w:t>第</w:t>
      </w:r>
      <w:r>
        <w:rPr>
          <w:spacing w:val="-3"/>
        </w:rPr>
        <w:t>二</w:t>
      </w:r>
      <w:r>
        <w:t>节</w:t>
      </w:r>
      <w:r>
        <w:rPr>
          <w:spacing w:val="-28"/>
        </w:rPr>
        <w:t xml:space="preserve"> </w:t>
      </w:r>
      <w:r>
        <w:t>加</w:t>
      </w:r>
      <w:r>
        <w:rPr>
          <w:spacing w:val="-3"/>
        </w:rPr>
        <w:t>强</w:t>
      </w:r>
      <w:r>
        <w:t>矿区</w:t>
      </w:r>
      <w:r>
        <w:rPr>
          <w:spacing w:val="-3"/>
        </w:rPr>
        <w:t>生</w:t>
      </w:r>
      <w:r>
        <w:t>态保</w:t>
      </w:r>
      <w:r>
        <w:rPr>
          <w:spacing w:val="-3"/>
        </w:rPr>
        <w:t>护</w:t>
      </w:r>
      <w:r>
        <w:t>修复</w:t>
      </w:r>
      <w:r>
        <w:tab/>
      </w:r>
      <w:r>
        <w:rPr>
          <w:rFonts w:ascii="Times New Roman" w:eastAsia="Times New Roman"/>
        </w:rPr>
        <w:t>19</w:t>
      </w:r>
      <w:r>
        <w:fldChar w:fldCharType="end"/>
      </w:r>
    </w:p>
    <w:p w14:paraId="5342E5C8">
      <w:pPr>
        <w:pStyle w:val="6"/>
        <w:tabs>
          <w:tab w:val="left" w:pos="1220"/>
          <w:tab w:val="right" w:leader="dot" w:pos="9118"/>
        </w:tabs>
        <w:rPr>
          <w:rFonts w:ascii="Times New Roman" w:eastAsia="Times New Roman"/>
          <w:b/>
        </w:rPr>
      </w:pPr>
      <w:r>
        <w:fldChar w:fldCharType="begin"/>
      </w:r>
      <w:r>
        <w:instrText xml:space="preserve">HYPERLINK  \l "_bookmark22" </w:instrText>
      </w:r>
      <w:r>
        <w:fldChar w:fldCharType="separate"/>
      </w:r>
      <w:r>
        <w:rPr>
          <w:b/>
          <w:bCs/>
        </w:rPr>
        <w:t>第六章</w:t>
      </w:r>
      <w:r>
        <w:rPr>
          <w:b/>
          <w:bCs/>
        </w:rPr>
        <w:tab/>
      </w:r>
      <w:r>
        <w:rPr>
          <w:b/>
          <w:bCs/>
        </w:rPr>
        <w:t>规划实施管理</w:t>
      </w:r>
      <w:r>
        <w:tab/>
      </w:r>
      <w:r>
        <w:rPr>
          <w:rFonts w:ascii="Times New Roman" w:eastAsia="Times New Roman"/>
          <w:b/>
        </w:rPr>
        <w:t>21</w:t>
      </w:r>
      <w:r>
        <w:fldChar w:fldCharType="end"/>
      </w:r>
    </w:p>
    <w:p w14:paraId="27F3E62A">
      <w:pPr>
        <w:pStyle w:val="7"/>
        <w:tabs>
          <w:tab w:val="right" w:leader="dot" w:pos="9118"/>
        </w:tabs>
        <w:spacing w:before="374"/>
        <w:rPr>
          <w:rFonts w:ascii="Times New Roman" w:eastAsia="Times New Roman"/>
        </w:rPr>
      </w:pPr>
      <w:r>
        <w:fldChar w:fldCharType="begin"/>
      </w:r>
      <w:r>
        <w:instrText xml:space="preserve">HYPERLINK  \l "_bookmark23" </w:instrText>
      </w:r>
      <w:r>
        <w:fldChar w:fldCharType="separate"/>
      </w:r>
      <w:r>
        <w:t>第</w:t>
      </w:r>
      <w:r>
        <w:rPr>
          <w:spacing w:val="-3"/>
        </w:rPr>
        <w:t>一</w:t>
      </w:r>
      <w:r>
        <w:t>节</w:t>
      </w:r>
      <w:r>
        <w:rPr>
          <w:spacing w:val="-28"/>
        </w:rPr>
        <w:t xml:space="preserve"> </w:t>
      </w:r>
      <w:r>
        <w:t>加</w:t>
      </w:r>
      <w:r>
        <w:rPr>
          <w:spacing w:val="-3"/>
        </w:rPr>
        <w:t>强</w:t>
      </w:r>
      <w:r>
        <w:t>组织</w:t>
      </w:r>
      <w:r>
        <w:rPr>
          <w:spacing w:val="-3"/>
        </w:rPr>
        <w:t>领</w:t>
      </w:r>
      <w:r>
        <w:t>导</w:t>
      </w:r>
      <w:r>
        <w:tab/>
      </w:r>
      <w:r>
        <w:rPr>
          <w:rFonts w:ascii="Times New Roman" w:eastAsia="Times New Roman"/>
        </w:rPr>
        <w:t>21</w:t>
      </w:r>
      <w:r>
        <w:fldChar w:fldCharType="end"/>
      </w:r>
    </w:p>
    <w:p w14:paraId="3872BBE2">
      <w:pPr>
        <w:pStyle w:val="7"/>
        <w:tabs>
          <w:tab w:val="right" w:leader="dot" w:pos="9118"/>
        </w:tabs>
        <w:rPr>
          <w:rFonts w:ascii="Times New Roman" w:eastAsia="Times New Roman"/>
        </w:rPr>
      </w:pPr>
      <w:r>
        <w:fldChar w:fldCharType="begin"/>
      </w:r>
      <w:r>
        <w:instrText xml:space="preserve">HYPERLINK  \l "_bookmark24" </w:instrText>
      </w:r>
      <w:r>
        <w:fldChar w:fldCharType="separate"/>
      </w:r>
      <w:r>
        <w:t>第</w:t>
      </w:r>
      <w:r>
        <w:rPr>
          <w:spacing w:val="-3"/>
        </w:rPr>
        <w:t>二</w:t>
      </w:r>
      <w:r>
        <w:t>节</w:t>
      </w:r>
      <w:r>
        <w:rPr>
          <w:spacing w:val="-28"/>
        </w:rPr>
        <w:t xml:space="preserve"> </w:t>
      </w:r>
      <w:r>
        <w:t>完</w:t>
      </w:r>
      <w:r>
        <w:rPr>
          <w:spacing w:val="-3"/>
        </w:rPr>
        <w:t>善</w:t>
      </w:r>
      <w:r>
        <w:t>规划</w:t>
      </w:r>
      <w:r>
        <w:rPr>
          <w:spacing w:val="-3"/>
        </w:rPr>
        <w:t>实</w:t>
      </w:r>
      <w:r>
        <w:t>施目</w:t>
      </w:r>
      <w:r>
        <w:rPr>
          <w:spacing w:val="-3"/>
        </w:rPr>
        <w:t>标</w:t>
      </w:r>
      <w:r>
        <w:t>责任</w:t>
      </w:r>
      <w:r>
        <w:rPr>
          <w:spacing w:val="-3"/>
        </w:rPr>
        <w:t>考</w:t>
      </w:r>
      <w:r>
        <w:t>核制度</w:t>
      </w:r>
      <w:r>
        <w:tab/>
      </w:r>
      <w:r>
        <w:rPr>
          <w:rFonts w:ascii="Times New Roman" w:eastAsia="Times New Roman"/>
        </w:rPr>
        <w:t>21</w:t>
      </w:r>
      <w:r>
        <w:fldChar w:fldCharType="end"/>
      </w:r>
    </w:p>
    <w:p w14:paraId="4DB839F1">
      <w:pPr>
        <w:pStyle w:val="7"/>
        <w:tabs>
          <w:tab w:val="right" w:leader="dot" w:pos="9118"/>
        </w:tabs>
        <w:rPr>
          <w:rFonts w:ascii="Times New Roman" w:eastAsia="Times New Roman"/>
        </w:rPr>
      </w:pPr>
      <w:r>
        <w:fldChar w:fldCharType="begin"/>
      </w:r>
      <w:r>
        <w:instrText xml:space="preserve">HYPERLINK  \l "_bookmark25" </w:instrText>
      </w:r>
      <w:r>
        <w:fldChar w:fldCharType="separate"/>
      </w:r>
      <w:r>
        <w:t>第</w:t>
      </w:r>
      <w:r>
        <w:rPr>
          <w:spacing w:val="-3"/>
        </w:rPr>
        <w:t>三</w:t>
      </w:r>
      <w:r>
        <w:t>节</w:t>
      </w:r>
      <w:r>
        <w:rPr>
          <w:spacing w:val="-28"/>
        </w:rPr>
        <w:t xml:space="preserve"> </w:t>
      </w:r>
      <w:r>
        <w:t>健</w:t>
      </w:r>
      <w:r>
        <w:rPr>
          <w:spacing w:val="-3"/>
        </w:rPr>
        <w:t>全</w:t>
      </w:r>
      <w:r>
        <w:t>完善</w:t>
      </w:r>
      <w:r>
        <w:rPr>
          <w:spacing w:val="-3"/>
        </w:rPr>
        <w:t>规</w:t>
      </w:r>
      <w:r>
        <w:t>划实</w:t>
      </w:r>
      <w:r>
        <w:rPr>
          <w:spacing w:val="-3"/>
        </w:rPr>
        <w:t>施</w:t>
      </w:r>
      <w:r>
        <w:t>评估</w:t>
      </w:r>
      <w:r>
        <w:rPr>
          <w:spacing w:val="-3"/>
        </w:rPr>
        <w:t>调</w:t>
      </w:r>
      <w:r>
        <w:t>整机制</w:t>
      </w:r>
      <w:r>
        <w:tab/>
      </w:r>
      <w:r>
        <w:rPr>
          <w:rFonts w:ascii="Times New Roman" w:eastAsia="Times New Roman"/>
        </w:rPr>
        <w:t>21</w:t>
      </w:r>
      <w:r>
        <w:fldChar w:fldCharType="end"/>
      </w:r>
    </w:p>
    <w:p w14:paraId="0EB7ED62">
      <w:pPr>
        <w:pStyle w:val="7"/>
        <w:tabs>
          <w:tab w:val="right" w:leader="dot" w:pos="9118"/>
        </w:tabs>
        <w:rPr>
          <w:rFonts w:ascii="Times New Roman" w:eastAsia="Times New Roman"/>
        </w:rPr>
      </w:pPr>
      <w:r>
        <w:fldChar w:fldCharType="begin"/>
      </w:r>
      <w:r>
        <w:instrText xml:space="preserve">HYPERLINK  \l "_bookmark26" </w:instrText>
      </w:r>
      <w:r>
        <w:fldChar w:fldCharType="separate"/>
      </w:r>
      <w:r>
        <w:t>第</w:t>
      </w:r>
      <w:r>
        <w:rPr>
          <w:spacing w:val="-3"/>
        </w:rPr>
        <w:t>四</w:t>
      </w:r>
      <w:r>
        <w:t>节</w:t>
      </w:r>
      <w:r>
        <w:rPr>
          <w:spacing w:val="-28"/>
        </w:rPr>
        <w:t xml:space="preserve"> </w:t>
      </w:r>
      <w:r>
        <w:t>加</w:t>
      </w:r>
      <w:r>
        <w:rPr>
          <w:spacing w:val="-3"/>
        </w:rPr>
        <w:t>强</w:t>
      </w:r>
      <w:r>
        <w:t>规划</w:t>
      </w:r>
      <w:r>
        <w:rPr>
          <w:spacing w:val="-3"/>
        </w:rPr>
        <w:t>实</w:t>
      </w:r>
      <w:r>
        <w:t>施情</w:t>
      </w:r>
      <w:r>
        <w:rPr>
          <w:spacing w:val="-3"/>
        </w:rPr>
        <w:t>况</w:t>
      </w:r>
      <w:r>
        <w:t>监督</w:t>
      </w:r>
      <w:r>
        <w:rPr>
          <w:spacing w:val="-3"/>
        </w:rPr>
        <w:t>检</w:t>
      </w:r>
      <w:r>
        <w:t>查</w:t>
      </w:r>
      <w:r>
        <w:tab/>
      </w:r>
      <w:r>
        <w:rPr>
          <w:rFonts w:ascii="Times New Roman" w:eastAsia="Times New Roman"/>
        </w:rPr>
        <w:t>21</w:t>
      </w:r>
      <w:r>
        <w:fldChar w:fldCharType="end"/>
      </w:r>
    </w:p>
    <w:p w14:paraId="618B6A3C">
      <w:pPr>
        <w:pStyle w:val="7"/>
        <w:tabs>
          <w:tab w:val="right" w:leader="dot" w:pos="9118"/>
        </w:tabs>
        <w:spacing w:before="266"/>
        <w:rPr>
          <w:rFonts w:ascii="Times New Roman" w:eastAsia="Times New Roman"/>
        </w:rPr>
      </w:pPr>
      <w:r>
        <w:fldChar w:fldCharType="begin"/>
      </w:r>
      <w:r>
        <w:instrText xml:space="preserve">HYPERLINK  \l "_bookmark27" </w:instrText>
      </w:r>
      <w:r>
        <w:fldChar w:fldCharType="separate"/>
      </w:r>
      <w:r>
        <w:t>第</w:t>
      </w:r>
      <w:r>
        <w:rPr>
          <w:spacing w:val="-3"/>
        </w:rPr>
        <w:t>五</w:t>
      </w:r>
      <w:r>
        <w:t>节</w:t>
      </w:r>
      <w:r>
        <w:rPr>
          <w:spacing w:val="-28"/>
        </w:rPr>
        <w:t xml:space="preserve"> </w:t>
      </w:r>
      <w:r>
        <w:t>提</w:t>
      </w:r>
      <w:r>
        <w:rPr>
          <w:spacing w:val="-3"/>
        </w:rPr>
        <w:t>高</w:t>
      </w:r>
      <w:r>
        <w:t>规划</w:t>
      </w:r>
      <w:r>
        <w:rPr>
          <w:spacing w:val="-3"/>
        </w:rPr>
        <w:t>管</w:t>
      </w:r>
      <w:r>
        <w:t>理信</w:t>
      </w:r>
      <w:r>
        <w:rPr>
          <w:spacing w:val="-3"/>
        </w:rPr>
        <w:t>息</w:t>
      </w:r>
      <w:r>
        <w:t>化水平</w:t>
      </w:r>
      <w:r>
        <w:tab/>
      </w:r>
      <w:r>
        <w:rPr>
          <w:rFonts w:ascii="Times New Roman" w:eastAsia="Times New Roman"/>
        </w:rPr>
        <w:t>22</w:t>
      </w:r>
      <w:r>
        <w:fldChar w:fldCharType="end"/>
      </w:r>
    </w:p>
    <w:p w14:paraId="23676649">
      <w:pPr>
        <w:spacing w:after="0"/>
        <w:rPr>
          <w:rFonts w:ascii="Times New Roman" w:eastAsia="Times New Roman"/>
        </w:rPr>
        <w:sectPr>
          <w:type w:val="continuous"/>
          <w:pgSz w:w="11910" w:h="16840"/>
          <w:pgMar w:top="1140" w:right="1180" w:bottom="1800" w:left="1340" w:header="720" w:footer="720" w:gutter="0"/>
          <w:cols w:space="720" w:num="1"/>
        </w:sectPr>
      </w:pPr>
    </w:p>
    <w:p w14:paraId="083640F0">
      <w:pPr>
        <w:pStyle w:val="2"/>
        <w:rPr>
          <w:rFonts w:ascii="Times New Roman"/>
        </w:rPr>
      </w:pPr>
    </w:p>
    <w:p w14:paraId="690D39D1">
      <w:pPr>
        <w:pStyle w:val="2"/>
        <w:spacing w:before="225"/>
        <w:ind w:left="100"/>
      </w:pPr>
      <w:r>
        <w:t>附表目录：</w:t>
      </w:r>
    </w:p>
    <w:p w14:paraId="7E25F6B2">
      <w:pPr>
        <w:spacing w:before="235" w:line="400" w:lineRule="auto"/>
        <w:ind w:left="100" w:right="4314" w:firstLine="0"/>
        <w:jc w:val="left"/>
        <w:rPr>
          <w:sz w:val="28"/>
        </w:rPr>
      </w:pPr>
      <w:r>
        <w:rPr>
          <w:spacing w:val="-18"/>
          <w:sz w:val="28"/>
        </w:rPr>
        <w:t xml:space="preserve">附表 </w:t>
      </w:r>
      <w:r>
        <w:rPr>
          <w:rFonts w:ascii="Times New Roman" w:eastAsia="Times New Roman"/>
          <w:sz w:val="28"/>
        </w:rPr>
        <w:t>1</w:t>
      </w:r>
      <w:r>
        <w:rPr>
          <w:spacing w:val="-3"/>
          <w:sz w:val="28"/>
        </w:rPr>
        <w:t>：德惠市矿产资源重点勘查区表附</w:t>
      </w:r>
      <w:r>
        <w:rPr>
          <w:spacing w:val="-18"/>
          <w:sz w:val="28"/>
        </w:rPr>
        <w:t>附表</w:t>
      </w:r>
      <w:r>
        <w:rPr>
          <w:rFonts w:hint="eastAsia"/>
          <w:spacing w:val="-18"/>
          <w:sz w:val="28"/>
          <w:lang w:val="en-US" w:eastAsia="zh-CN"/>
        </w:rPr>
        <w:t xml:space="preserve"> </w:t>
      </w:r>
      <w:r>
        <w:rPr>
          <w:rFonts w:ascii="Times New Roman" w:eastAsia="Times New Roman"/>
          <w:sz w:val="28"/>
        </w:rPr>
        <w:t>2</w:t>
      </w:r>
      <w:r>
        <w:rPr>
          <w:spacing w:val="-3"/>
          <w:sz w:val="28"/>
        </w:rPr>
        <w:t>：德惠市矿产资源勘查规划区块表附</w:t>
      </w:r>
      <w:r>
        <w:rPr>
          <w:spacing w:val="-28"/>
          <w:sz w:val="28"/>
        </w:rPr>
        <w:t xml:space="preserve">表 </w:t>
      </w:r>
      <w:r>
        <w:rPr>
          <w:rFonts w:ascii="Times New Roman" w:eastAsia="Times New Roman"/>
          <w:sz w:val="28"/>
        </w:rPr>
        <w:t>3</w:t>
      </w:r>
      <w:r>
        <w:rPr>
          <w:spacing w:val="-3"/>
          <w:sz w:val="28"/>
        </w:rPr>
        <w:t>：德惠市矿产资源重点开采区表附</w:t>
      </w:r>
      <w:r>
        <w:rPr>
          <w:spacing w:val="-18"/>
          <w:sz w:val="28"/>
        </w:rPr>
        <w:t>附表</w:t>
      </w:r>
      <w:r>
        <w:rPr>
          <w:spacing w:val="-69"/>
          <w:sz w:val="28"/>
        </w:rPr>
        <w:t xml:space="preserve"> </w:t>
      </w:r>
      <w:r>
        <w:rPr>
          <w:rFonts w:hint="eastAsia"/>
          <w:spacing w:val="-69"/>
          <w:sz w:val="28"/>
          <w:lang w:val="en-US" w:eastAsia="zh-CN"/>
        </w:rPr>
        <w:t xml:space="preserve"> </w:t>
      </w:r>
      <w:r>
        <w:rPr>
          <w:rFonts w:ascii="Times New Roman" w:eastAsia="Times New Roman"/>
          <w:sz w:val="28"/>
        </w:rPr>
        <w:t>4</w:t>
      </w:r>
      <w:r>
        <w:rPr>
          <w:spacing w:val="-3"/>
          <w:sz w:val="28"/>
        </w:rPr>
        <w:t>：德惠市矿产资源开采规划区块表</w:t>
      </w:r>
    </w:p>
    <w:p w14:paraId="3C35D879">
      <w:pPr>
        <w:spacing w:before="4"/>
        <w:ind w:left="100" w:right="0" w:firstLine="0"/>
        <w:jc w:val="left"/>
        <w:rPr>
          <w:sz w:val="28"/>
        </w:rPr>
      </w:pPr>
      <w:r>
        <w:rPr>
          <w:sz w:val="28"/>
        </w:rPr>
        <w:t xml:space="preserve">附表 </w:t>
      </w:r>
      <w:r>
        <w:rPr>
          <w:rFonts w:ascii="Times New Roman" w:eastAsia="Times New Roman"/>
          <w:sz w:val="28"/>
        </w:rPr>
        <w:t>5</w:t>
      </w:r>
      <w:r>
        <w:rPr>
          <w:sz w:val="28"/>
        </w:rPr>
        <w:t>：德惠市重点矿种最低开采规模规划表</w:t>
      </w:r>
    </w:p>
    <w:p w14:paraId="707BF14D">
      <w:pPr>
        <w:pStyle w:val="2"/>
      </w:pPr>
    </w:p>
    <w:p w14:paraId="6722B48A">
      <w:pPr>
        <w:pStyle w:val="2"/>
        <w:spacing w:before="1"/>
        <w:rPr>
          <w:sz w:val="34"/>
        </w:rPr>
      </w:pPr>
    </w:p>
    <w:p w14:paraId="4D8D2B06">
      <w:pPr>
        <w:pStyle w:val="2"/>
        <w:ind w:left="100"/>
      </w:pPr>
      <w:r>
        <w:t>附图目录：</w:t>
      </w:r>
    </w:p>
    <w:p w14:paraId="70B0B780">
      <w:pPr>
        <w:spacing w:before="236"/>
        <w:ind w:left="100" w:right="0" w:firstLine="0"/>
        <w:jc w:val="left"/>
        <w:rPr>
          <w:sz w:val="28"/>
        </w:rPr>
      </w:pPr>
      <w:r>
        <w:rPr>
          <w:sz w:val="28"/>
        </w:rPr>
        <w:t xml:space="preserve">附图 </w:t>
      </w:r>
      <w:r>
        <w:rPr>
          <w:rFonts w:ascii="Times New Roman" w:eastAsia="Times New Roman"/>
          <w:sz w:val="28"/>
        </w:rPr>
        <w:t>1</w:t>
      </w:r>
      <w:r>
        <w:rPr>
          <w:sz w:val="28"/>
        </w:rPr>
        <w:t>：德惠市矿产资源分布图</w:t>
      </w:r>
    </w:p>
    <w:p w14:paraId="4B23E689">
      <w:pPr>
        <w:spacing w:before="241" w:line="400" w:lineRule="auto"/>
        <w:ind w:left="100" w:right="3755" w:firstLine="0"/>
        <w:jc w:val="left"/>
        <w:rPr>
          <w:sz w:val="28"/>
        </w:rPr>
      </w:pPr>
      <w:r>
        <w:rPr>
          <w:spacing w:val="-22"/>
          <w:sz w:val="28"/>
        </w:rPr>
        <w:t xml:space="preserve">附图 </w:t>
      </w:r>
      <w:r>
        <w:rPr>
          <w:rFonts w:ascii="Times New Roman" w:eastAsia="Times New Roman"/>
          <w:sz w:val="28"/>
        </w:rPr>
        <w:t>2</w:t>
      </w:r>
      <w:r>
        <w:rPr>
          <w:spacing w:val="-3"/>
          <w:sz w:val="28"/>
        </w:rPr>
        <w:t>：德惠市矿产资源勘查开发利用现状图</w:t>
      </w:r>
      <w:r>
        <w:rPr>
          <w:spacing w:val="-27"/>
          <w:sz w:val="28"/>
        </w:rPr>
        <w:t xml:space="preserve">附图 </w:t>
      </w:r>
      <w:r>
        <w:rPr>
          <w:rFonts w:ascii="Times New Roman" w:eastAsia="Times New Roman"/>
          <w:sz w:val="28"/>
        </w:rPr>
        <w:t>3</w:t>
      </w:r>
      <w:r>
        <w:rPr>
          <w:spacing w:val="-3"/>
          <w:sz w:val="28"/>
        </w:rPr>
        <w:t>：德惠市矿产资源勘查规划图</w:t>
      </w:r>
    </w:p>
    <w:p w14:paraId="6211B9D8">
      <w:pPr>
        <w:spacing w:before="2"/>
        <w:ind w:left="100" w:right="0" w:firstLine="0"/>
        <w:jc w:val="left"/>
        <w:rPr>
          <w:sz w:val="28"/>
        </w:rPr>
      </w:pPr>
      <w:r>
        <w:rPr>
          <w:spacing w:val="-22"/>
          <w:sz w:val="28"/>
        </w:rPr>
        <w:t xml:space="preserve">附图 </w:t>
      </w:r>
      <w:r>
        <w:rPr>
          <w:rFonts w:ascii="Times New Roman" w:eastAsia="Times New Roman"/>
          <w:sz w:val="28"/>
        </w:rPr>
        <w:t>4</w:t>
      </w:r>
      <w:r>
        <w:rPr>
          <w:spacing w:val="-3"/>
          <w:sz w:val="28"/>
        </w:rPr>
        <w:t>：德惠市矿产资源开采规划图</w:t>
      </w:r>
    </w:p>
    <w:p w14:paraId="365B5863">
      <w:pPr>
        <w:spacing w:after="0"/>
        <w:jc w:val="left"/>
        <w:rPr>
          <w:sz w:val="28"/>
        </w:rPr>
        <w:sectPr>
          <w:type w:val="continuous"/>
          <w:pgSz w:w="11910" w:h="16840"/>
          <w:pgMar w:top="1140" w:right="1180" w:bottom="280" w:left="1340" w:header="720" w:footer="720" w:gutter="0"/>
          <w:cols w:space="720" w:num="1"/>
        </w:sectPr>
      </w:pPr>
    </w:p>
    <w:p w14:paraId="07F512A1">
      <w:pPr>
        <w:pStyle w:val="8"/>
        <w:tabs>
          <w:tab w:val="left" w:pos="880"/>
        </w:tabs>
      </w:pPr>
      <w:bookmarkStart w:id="0" w:name="_bookmark0"/>
      <w:bookmarkEnd w:id="0"/>
      <w:bookmarkStart w:id="1" w:name="总  则"/>
      <w:bookmarkEnd w:id="1"/>
      <w:r>
        <w:t>总</w:t>
      </w:r>
      <w:r>
        <w:tab/>
      </w:r>
      <w:r>
        <w:t>则</w:t>
      </w:r>
    </w:p>
    <w:p w14:paraId="7E6C2FB1">
      <w:pPr>
        <w:pStyle w:val="2"/>
        <w:spacing w:before="10"/>
        <w:rPr>
          <w:rFonts w:ascii="华文中宋"/>
          <w:sz w:val="38"/>
        </w:rPr>
      </w:pPr>
    </w:p>
    <w:p w14:paraId="54BF1424">
      <w:pPr>
        <w:pStyle w:val="2"/>
        <w:spacing w:line="374" w:lineRule="auto"/>
        <w:ind w:left="100" w:right="107" w:firstLine="600"/>
        <w:jc w:val="both"/>
      </w:pPr>
      <w:r>
        <w:t>为加快推进德惠市全面振兴全方位振兴，统筹安排矿产资源勘查开发与保护工作，促进矿业绿色高质量发展，依据《中华人民共和国矿产资源法》、《矿产资源规划编制实施办法》、《全国矿产资源规</w:t>
      </w:r>
      <w:r>
        <w:rPr>
          <w:spacing w:val="-48"/>
        </w:rPr>
        <w:t>划</w:t>
      </w:r>
      <w:r>
        <w:t>（</w:t>
      </w:r>
      <w:r>
        <w:rPr>
          <w:rFonts w:ascii="Times New Roman" w:eastAsia="Times New Roman"/>
        </w:rPr>
        <w:t>2021</w:t>
      </w:r>
      <w:r>
        <w:t>-</w:t>
      </w:r>
      <w:r>
        <w:rPr>
          <w:rFonts w:ascii="Times New Roman" w:eastAsia="Times New Roman"/>
        </w:rPr>
        <w:t xml:space="preserve">2025 </w:t>
      </w:r>
      <w:r>
        <w:t>年</w:t>
      </w:r>
      <w:r>
        <w:rPr>
          <w:spacing w:val="-48"/>
        </w:rPr>
        <w:t>）</w:t>
      </w:r>
      <w:r>
        <w:rPr>
          <w:spacing w:val="-18"/>
        </w:rPr>
        <w:t>》、《吉林省矿产资源总体规划</w:t>
      </w:r>
      <w:r>
        <w:t>（</w:t>
      </w:r>
      <w:r>
        <w:rPr>
          <w:rFonts w:ascii="Times New Roman" w:eastAsia="Times New Roman"/>
        </w:rPr>
        <w:t>2021</w:t>
      </w:r>
      <w:r>
        <w:t>-</w:t>
      </w:r>
      <w:r>
        <w:rPr>
          <w:rFonts w:ascii="Times New Roman" w:eastAsia="Times New Roman"/>
        </w:rPr>
        <w:t xml:space="preserve">2025 </w:t>
      </w:r>
      <w:r>
        <w:t>年</w:t>
      </w:r>
      <w:r>
        <w:rPr>
          <w:spacing w:val="-132"/>
        </w:rPr>
        <w:t>）</w:t>
      </w:r>
      <w:r>
        <w:rPr>
          <w:spacing w:val="-75"/>
        </w:rPr>
        <w:t>》、</w:t>
      </w:r>
    </w:p>
    <w:p w14:paraId="0EF25F62">
      <w:pPr>
        <w:pStyle w:val="2"/>
        <w:spacing w:before="1" w:line="374" w:lineRule="auto"/>
        <w:ind w:left="100" w:right="59"/>
      </w:pPr>
      <w:r>
        <w:t>《长春市矿产资源总体规划（</w:t>
      </w:r>
      <w:r>
        <w:rPr>
          <w:rFonts w:ascii="Times New Roman" w:eastAsia="Times New Roman"/>
        </w:rPr>
        <w:t>2021</w:t>
      </w:r>
      <w:r>
        <w:t>-</w:t>
      </w:r>
      <w:r>
        <w:rPr>
          <w:rFonts w:ascii="Times New Roman" w:eastAsia="Times New Roman"/>
        </w:rPr>
        <w:t xml:space="preserve">2025 </w:t>
      </w:r>
      <w:r>
        <w:t xml:space="preserve">年）》、《德惠市国民经济和社会发展第十四个五年规划和 </w:t>
      </w:r>
      <w:r>
        <w:rPr>
          <w:rFonts w:ascii="Times New Roman" w:eastAsia="Times New Roman"/>
        </w:rPr>
        <w:t xml:space="preserve">2035 </w:t>
      </w:r>
      <w:r>
        <w:t>年远景目标纲要》、《德惠市国土空间总体规划（</w:t>
      </w:r>
      <w:r>
        <w:rPr>
          <w:rFonts w:ascii="Times New Roman" w:eastAsia="Times New Roman"/>
        </w:rPr>
        <w:t>2021</w:t>
      </w:r>
      <w:r>
        <w:t>-</w:t>
      </w:r>
      <w:r>
        <w:rPr>
          <w:rFonts w:ascii="Times New Roman" w:eastAsia="Times New Roman"/>
        </w:rPr>
        <w:t xml:space="preserve">2035 </w:t>
      </w:r>
      <w:r>
        <w:t>年）》等法律法规、规范和指导性文件， 结合相关产业政策和技术标准，编制《德惠市矿产资源总体规划</w:t>
      </w:r>
    </w:p>
    <w:p w14:paraId="344EDA45">
      <w:pPr>
        <w:pStyle w:val="2"/>
        <w:spacing w:before="2"/>
        <w:ind w:left="100"/>
      </w:pPr>
      <w:r>
        <w:t>（</w:t>
      </w:r>
      <w:r>
        <w:rPr>
          <w:rFonts w:ascii="Times New Roman" w:eastAsia="Times New Roman"/>
        </w:rPr>
        <w:t>2021</w:t>
      </w:r>
      <w:r>
        <w:t>-</w:t>
      </w:r>
      <w:r>
        <w:rPr>
          <w:rFonts w:ascii="Times New Roman" w:eastAsia="Times New Roman"/>
        </w:rPr>
        <w:t xml:space="preserve">2025 </w:t>
      </w:r>
      <w:r>
        <w:t>年）》（以下简称《规划》）。</w:t>
      </w:r>
    </w:p>
    <w:p w14:paraId="0C1D36E4">
      <w:pPr>
        <w:pStyle w:val="2"/>
        <w:spacing w:before="216" w:line="374" w:lineRule="auto"/>
        <w:ind w:left="100" w:right="256" w:firstLine="600"/>
        <w:jc w:val="both"/>
      </w:pPr>
      <w:r>
        <w:t>《规划》是长春市矿产资源规划体系的重要组成部分，是德惠市落实长春市矿产资源安全战略，加强和改善矿产资源宏观管理的重要手段，是依法审批和监督管理地质勘查、矿产资源开发利用和保护活动的重要依据。涉及矿产资源开发活动的相关行业规划，应当与《规划》做好衔接。</w:t>
      </w:r>
    </w:p>
    <w:p w14:paraId="31A0E8CF">
      <w:pPr>
        <w:pStyle w:val="2"/>
        <w:spacing w:before="1"/>
        <w:ind w:left="700"/>
      </w:pPr>
      <w:r>
        <w:t>《规划》适用范围为德惠市所辖行政区域。</w:t>
      </w:r>
    </w:p>
    <w:p w14:paraId="40387CFC">
      <w:pPr>
        <w:pStyle w:val="2"/>
        <w:spacing w:before="216"/>
        <w:ind w:left="700"/>
        <w:rPr>
          <w:rFonts w:ascii="Times New Roman" w:eastAsia="Times New Roman"/>
        </w:rPr>
      </w:pPr>
      <w:r>
        <w:rPr>
          <w:spacing w:val="-25"/>
        </w:rPr>
        <w:t xml:space="preserve">《规划》以 </w:t>
      </w:r>
      <w:r>
        <w:rPr>
          <w:rFonts w:ascii="Times New Roman" w:eastAsia="Times New Roman"/>
        </w:rPr>
        <w:t xml:space="preserve">2020 </w:t>
      </w:r>
      <w:r>
        <w:rPr>
          <w:spacing w:val="-16"/>
        </w:rPr>
        <w:t xml:space="preserve">年为基期，规划期为 </w:t>
      </w:r>
      <w:r>
        <w:rPr>
          <w:rFonts w:ascii="Times New Roman" w:eastAsia="Times New Roman"/>
        </w:rPr>
        <w:t>2021</w:t>
      </w:r>
      <w:r>
        <w:t>-</w:t>
      </w:r>
      <w:r>
        <w:rPr>
          <w:rFonts w:ascii="Times New Roman" w:eastAsia="Times New Roman"/>
        </w:rPr>
        <w:t xml:space="preserve">2025 </w:t>
      </w:r>
      <w:r>
        <w:rPr>
          <w:spacing w:val="-25"/>
        </w:rPr>
        <w:t xml:space="preserve">年，展望到 </w:t>
      </w:r>
      <w:r>
        <w:rPr>
          <w:rFonts w:ascii="Times New Roman" w:eastAsia="Times New Roman"/>
        </w:rPr>
        <w:t>2035</w:t>
      </w:r>
    </w:p>
    <w:p w14:paraId="5EA16D0F">
      <w:pPr>
        <w:pStyle w:val="2"/>
        <w:spacing w:before="216"/>
        <w:ind w:left="100"/>
      </w:pPr>
      <w:r>
        <w:t>年。</w:t>
      </w:r>
    </w:p>
    <w:p w14:paraId="41632ED2">
      <w:pPr>
        <w:spacing w:after="0"/>
        <w:sectPr>
          <w:pgSz w:w="11910" w:h="16840"/>
          <w:pgMar w:top="1500" w:right="1180" w:bottom="280" w:left="1340" w:header="720" w:footer="720" w:gutter="0"/>
          <w:cols w:space="720" w:num="1"/>
        </w:sectPr>
      </w:pPr>
    </w:p>
    <w:p w14:paraId="1F114D8F">
      <w:pPr>
        <w:pStyle w:val="9"/>
        <w:tabs>
          <w:tab w:val="left" w:pos="1439"/>
        </w:tabs>
        <w:spacing w:line="645" w:lineRule="exact"/>
        <w:ind w:right="158"/>
      </w:pPr>
      <w:bookmarkStart w:id="2" w:name="_bookmark1"/>
      <w:bookmarkEnd w:id="2"/>
      <w:bookmarkStart w:id="3" w:name="第一章  现状与形势"/>
      <w:bookmarkEnd w:id="3"/>
      <w:r>
        <w:t>第一章</w:t>
      </w:r>
      <w:r>
        <w:tab/>
      </w:r>
      <w:r>
        <w:t>现状与形势</w:t>
      </w:r>
    </w:p>
    <w:p w14:paraId="3669FD87">
      <w:pPr>
        <w:pStyle w:val="2"/>
        <w:spacing w:before="237"/>
        <w:ind w:right="158"/>
        <w:jc w:val="center"/>
        <w:rPr>
          <w:rFonts w:hint="eastAsia" w:ascii="黑体" w:eastAsia="黑体"/>
        </w:rPr>
      </w:pPr>
      <w:bookmarkStart w:id="4" w:name="第一节 自然地理与经济社会发展概况"/>
      <w:bookmarkEnd w:id="4"/>
      <w:bookmarkStart w:id="5" w:name="_bookmark2"/>
      <w:bookmarkEnd w:id="5"/>
      <w:r>
        <w:rPr>
          <w:rFonts w:hint="eastAsia" w:ascii="黑体" w:eastAsia="黑体"/>
        </w:rPr>
        <w:t>第一节 自然地理与经济社会发展概况</w:t>
      </w:r>
    </w:p>
    <w:p w14:paraId="1A5CA4DB">
      <w:pPr>
        <w:pStyle w:val="2"/>
        <w:spacing w:before="2"/>
        <w:rPr>
          <w:rFonts w:ascii="黑体"/>
          <w:sz w:val="26"/>
        </w:rPr>
      </w:pPr>
    </w:p>
    <w:p w14:paraId="164AE115">
      <w:pPr>
        <w:pStyle w:val="2"/>
        <w:spacing w:line="374" w:lineRule="auto"/>
        <w:ind w:left="460" w:right="526" w:firstLine="600"/>
        <w:jc w:val="both"/>
        <w:rPr>
          <w:rFonts w:ascii="Times New Roman" w:hAnsi="Times New Roman" w:eastAsia="Times New Roman"/>
        </w:rPr>
      </w:pPr>
      <w:r>
        <w:t xml:space="preserve">德惠市位于吉林省中北部、长春市东北部，松辽平原腹地。地理坐标为东经 </w:t>
      </w:r>
      <w:r>
        <w:rPr>
          <w:rFonts w:ascii="Times New Roman" w:hAnsi="Times New Roman" w:eastAsia="Times New Roman"/>
        </w:rPr>
        <w:t>125</w:t>
      </w:r>
      <w:r>
        <w:t>°</w:t>
      </w:r>
      <w:r>
        <w:rPr>
          <w:rFonts w:ascii="Times New Roman" w:hAnsi="Times New Roman" w:eastAsia="Times New Roman"/>
        </w:rPr>
        <w:t>14</w:t>
      </w:r>
      <w:r>
        <w:t>′-</w:t>
      </w:r>
      <w:r>
        <w:rPr>
          <w:rFonts w:ascii="Times New Roman" w:hAnsi="Times New Roman" w:eastAsia="Times New Roman"/>
        </w:rPr>
        <w:t>126</w:t>
      </w:r>
      <w:r>
        <w:t>°</w:t>
      </w:r>
      <w:r>
        <w:rPr>
          <w:rFonts w:ascii="Times New Roman" w:hAnsi="Times New Roman" w:eastAsia="Times New Roman"/>
        </w:rPr>
        <w:t>24</w:t>
      </w:r>
      <w:r>
        <w:t xml:space="preserve">′，北纬 </w:t>
      </w:r>
      <w:r>
        <w:rPr>
          <w:rFonts w:ascii="Times New Roman" w:hAnsi="Times New Roman" w:eastAsia="Times New Roman"/>
        </w:rPr>
        <w:t>44</w:t>
      </w:r>
      <w:r>
        <w:t>°</w:t>
      </w:r>
      <w:r>
        <w:rPr>
          <w:rFonts w:ascii="Times New Roman" w:hAnsi="Times New Roman" w:eastAsia="Times New Roman"/>
        </w:rPr>
        <w:t>02</w:t>
      </w:r>
      <w:r>
        <w:t>′-</w:t>
      </w:r>
      <w:r>
        <w:rPr>
          <w:rFonts w:ascii="Times New Roman" w:hAnsi="Times New Roman" w:eastAsia="Times New Roman"/>
        </w:rPr>
        <w:t>44</w:t>
      </w:r>
      <w:r>
        <w:t xml:space="preserve">° </w:t>
      </w:r>
      <w:r>
        <w:rPr>
          <w:rFonts w:ascii="Times New Roman" w:hAnsi="Times New Roman" w:eastAsia="Times New Roman"/>
        </w:rPr>
        <w:t>53</w:t>
      </w:r>
      <w:r>
        <w:t xml:space="preserve">′。城区距长春市 </w:t>
      </w:r>
      <w:r>
        <w:rPr>
          <w:rFonts w:ascii="Times New Roman" w:hAnsi="Times New Roman" w:eastAsia="Times New Roman"/>
        </w:rPr>
        <w:t xml:space="preserve">78 </w:t>
      </w:r>
      <w:r>
        <w:t xml:space="preserve">公里、哈尔滨市 </w:t>
      </w:r>
      <w:r>
        <w:rPr>
          <w:rFonts w:ascii="Times New Roman" w:hAnsi="Times New Roman" w:eastAsia="Times New Roman"/>
        </w:rPr>
        <w:t xml:space="preserve">168 </w:t>
      </w:r>
      <w:r>
        <w:t xml:space="preserve">公里、吉林市 </w:t>
      </w:r>
      <w:r>
        <w:rPr>
          <w:rFonts w:ascii="Times New Roman" w:hAnsi="Times New Roman" w:eastAsia="Times New Roman"/>
        </w:rPr>
        <w:t>126</w:t>
      </w:r>
    </w:p>
    <w:p w14:paraId="0F014570">
      <w:pPr>
        <w:pStyle w:val="2"/>
        <w:spacing w:before="1" w:line="374" w:lineRule="auto"/>
        <w:ind w:left="460" w:right="526"/>
        <w:jc w:val="both"/>
      </w:pPr>
      <w:r>
        <w:rPr>
          <w:spacing w:val="-11"/>
        </w:rPr>
        <w:t xml:space="preserve">公里、松原市 </w:t>
      </w:r>
      <w:r>
        <w:rPr>
          <w:rFonts w:ascii="Times New Roman" w:eastAsia="Times New Roman"/>
        </w:rPr>
        <w:t xml:space="preserve">120 </w:t>
      </w:r>
      <w:r>
        <w:rPr>
          <w:spacing w:val="-1"/>
        </w:rPr>
        <w:t xml:space="preserve">公里。东部隔松花江与扶余市、榆树市相望， </w:t>
      </w:r>
      <w:r>
        <w:rPr>
          <w:spacing w:val="-5"/>
        </w:rPr>
        <w:t>南部中间部分以雾开河为界与长春市九台区接壤，西南部与长春</w:t>
      </w:r>
      <w:r>
        <w:rPr>
          <w:spacing w:val="-11"/>
        </w:rPr>
        <w:t>新区毗邻，西部与农安县接壤，西北部隔伊通河、饮马河与农安县相望。</w:t>
      </w:r>
    </w:p>
    <w:p w14:paraId="1C29B0C1">
      <w:pPr>
        <w:pStyle w:val="2"/>
        <w:spacing w:before="2" w:line="374" w:lineRule="auto"/>
        <w:ind w:left="460" w:right="467" w:firstLine="600"/>
      </w:pPr>
      <w:r>
        <w:rPr>
          <w:spacing w:val="-5"/>
        </w:rPr>
        <w:t>德惠市地处松辽平原中断东南隆起边缘，境内地势平坦，南</w:t>
      </w:r>
      <w:r>
        <w:rPr>
          <w:spacing w:val="-18"/>
        </w:rPr>
        <w:t>稍高，北略低，自东向西呈波状起伏。东濒松花江，西邻伊通河。</w:t>
      </w:r>
      <w:r>
        <w:t>在江河水流切割作用下，形成两个河间台地和三个河谷平原。</w:t>
      </w:r>
    </w:p>
    <w:p w14:paraId="119D3DB7">
      <w:pPr>
        <w:pStyle w:val="2"/>
        <w:spacing w:before="1" w:line="374" w:lineRule="auto"/>
        <w:ind w:left="460" w:right="467" w:firstLine="600"/>
      </w:pPr>
      <w:r>
        <w:rPr>
          <w:spacing w:val="-13"/>
        </w:rPr>
        <w:t xml:space="preserve">全市总面积 </w:t>
      </w:r>
      <w:r>
        <w:rPr>
          <w:rFonts w:ascii="Times New Roman" w:eastAsia="Times New Roman"/>
        </w:rPr>
        <w:t xml:space="preserve">3322.24 </w:t>
      </w:r>
      <w:r>
        <w:rPr>
          <w:spacing w:val="-18"/>
        </w:rPr>
        <w:t xml:space="preserve">平方公里，下辖 </w:t>
      </w:r>
      <w:r>
        <w:rPr>
          <w:rFonts w:ascii="Times New Roman" w:eastAsia="Times New Roman"/>
        </w:rPr>
        <w:t>4</w:t>
      </w:r>
      <w:r>
        <w:rPr>
          <w:rFonts w:ascii="Times New Roman" w:eastAsia="Times New Roman"/>
          <w:spacing w:val="-2"/>
        </w:rPr>
        <w:t xml:space="preserve"> </w:t>
      </w:r>
      <w:r>
        <w:rPr>
          <w:spacing w:val="-19"/>
        </w:rPr>
        <w:t>个街道</w:t>
      </w:r>
      <w:r>
        <w:t>（</w:t>
      </w:r>
      <w:r>
        <w:rPr>
          <w:spacing w:val="-12"/>
        </w:rPr>
        <w:t>胜利、建设、</w:t>
      </w:r>
      <w:r>
        <w:rPr>
          <w:spacing w:val="4"/>
        </w:rPr>
        <w:t>惠发、夏家店）、</w:t>
      </w:r>
      <w:r>
        <w:rPr>
          <w:rFonts w:ascii="Times New Roman" w:eastAsia="Times New Roman"/>
        </w:rPr>
        <w:t>12</w:t>
      </w:r>
      <w:r>
        <w:rPr>
          <w:rFonts w:ascii="Times New Roman" w:eastAsia="Times New Roman"/>
          <w:spacing w:val="3"/>
        </w:rPr>
        <w:t xml:space="preserve"> </w:t>
      </w:r>
      <w:r>
        <w:rPr>
          <w:spacing w:val="4"/>
        </w:rPr>
        <w:t>个镇（</w:t>
      </w:r>
      <w:r>
        <w:rPr>
          <w:spacing w:val="3"/>
        </w:rPr>
        <w:t>大青嘴、布海、天台、郭家、松花</w:t>
      </w:r>
      <w:r>
        <w:rPr>
          <w:spacing w:val="-23"/>
        </w:rPr>
        <w:t>江、菜园子、达家沟、大房身、岔路口、朱城子、米沙子、万宝</w:t>
      </w:r>
      <w:r>
        <w:rPr>
          <w:spacing w:val="-149"/>
        </w:rPr>
        <w:t>）</w:t>
      </w:r>
      <w:r>
        <w:rPr>
          <w:spacing w:val="-12"/>
        </w:rPr>
        <w:t>、</w:t>
      </w:r>
      <w:r>
        <w:rPr>
          <w:rFonts w:ascii="Times New Roman" w:eastAsia="Times New Roman"/>
        </w:rPr>
        <w:t>4</w:t>
      </w:r>
      <w:r>
        <w:rPr>
          <w:rFonts w:ascii="Times New Roman" w:eastAsia="Times New Roman"/>
          <w:spacing w:val="12"/>
        </w:rPr>
        <w:t xml:space="preserve"> </w:t>
      </w:r>
      <w:r>
        <w:t>个乡（同太、边岗、五台、朝阳）、</w:t>
      </w:r>
      <w:r>
        <w:rPr>
          <w:rFonts w:ascii="Times New Roman" w:eastAsia="Times New Roman"/>
        </w:rPr>
        <w:t>2</w:t>
      </w:r>
      <w:r>
        <w:rPr>
          <w:rFonts w:ascii="Times New Roman" w:eastAsia="Times New Roman"/>
          <w:spacing w:val="13"/>
        </w:rPr>
        <w:t xml:space="preserve"> </w:t>
      </w:r>
      <w:r>
        <w:t>个省级经济开发区（德</w:t>
      </w:r>
    </w:p>
    <w:p w14:paraId="3D1EC264">
      <w:pPr>
        <w:pStyle w:val="2"/>
        <w:spacing w:before="1"/>
        <w:ind w:left="460"/>
      </w:pPr>
      <w:r>
        <w:t>惠经济开发区、米沙子工业集中区）</w:t>
      </w:r>
      <w:r>
        <w:rPr>
          <w:spacing w:val="-13"/>
        </w:rPr>
        <w:t xml:space="preserve">。截止 </w:t>
      </w:r>
      <w:r>
        <w:rPr>
          <w:rFonts w:ascii="Times New Roman" w:eastAsia="Times New Roman"/>
        </w:rPr>
        <w:t>2020</w:t>
      </w:r>
      <w:r>
        <w:rPr>
          <w:rFonts w:ascii="Times New Roman" w:eastAsia="Times New Roman"/>
          <w:spacing w:val="22"/>
        </w:rPr>
        <w:t xml:space="preserve"> </w:t>
      </w:r>
      <w:r>
        <w:t>年，户籍总人</w:t>
      </w:r>
    </w:p>
    <w:p w14:paraId="04FD45E5">
      <w:pPr>
        <w:pStyle w:val="2"/>
        <w:spacing w:before="216"/>
        <w:ind w:left="460"/>
      </w:pPr>
      <w:r>
        <w:t xml:space="preserve">口 </w:t>
      </w:r>
      <w:r>
        <w:rPr>
          <w:rFonts w:ascii="Times New Roman" w:eastAsia="Times New Roman"/>
        </w:rPr>
        <w:t xml:space="preserve">869974 </w:t>
      </w:r>
      <w:r>
        <w:t xml:space="preserve">人，其中，乡村人口 </w:t>
      </w:r>
      <w:r>
        <w:rPr>
          <w:rFonts w:ascii="Times New Roman" w:eastAsia="Times New Roman"/>
        </w:rPr>
        <w:t xml:space="preserve">720652 </w:t>
      </w:r>
      <w:r>
        <w:t xml:space="preserve">人，城镇人口 </w:t>
      </w:r>
      <w:r>
        <w:rPr>
          <w:rFonts w:ascii="Times New Roman" w:eastAsia="Times New Roman"/>
        </w:rPr>
        <w:t xml:space="preserve">149332 </w:t>
      </w:r>
      <w:r>
        <w:t>人。</w:t>
      </w:r>
    </w:p>
    <w:p w14:paraId="63CF433A">
      <w:pPr>
        <w:pStyle w:val="2"/>
        <w:spacing w:before="216"/>
        <w:ind w:left="1060"/>
      </w:pPr>
      <w:r>
        <w:rPr>
          <w:rFonts w:ascii="Times New Roman" w:eastAsia="Times New Roman"/>
        </w:rPr>
        <w:t xml:space="preserve">2020 </w:t>
      </w:r>
      <w:r>
        <w:t xml:space="preserve">年全年实现地区生产总值 </w:t>
      </w:r>
      <w:r>
        <w:rPr>
          <w:rFonts w:ascii="Times New Roman" w:eastAsia="Times New Roman"/>
        </w:rPr>
        <w:t xml:space="preserve">249.3 </w:t>
      </w:r>
      <w:r>
        <w:t>亿元。</w:t>
      </w:r>
    </w:p>
    <w:p w14:paraId="22C9FAA8">
      <w:pPr>
        <w:pStyle w:val="2"/>
        <w:spacing w:line="720" w:lineRule="atLeast"/>
        <w:ind w:left="1060" w:right="3347" w:firstLine="2128"/>
        <w:rPr>
          <w:rFonts w:hint="eastAsia" w:ascii="黑体" w:eastAsia="黑体"/>
        </w:rPr>
      </w:pPr>
      <w:bookmarkStart w:id="6" w:name="第二节 矿产资源概况"/>
      <w:bookmarkEnd w:id="6"/>
      <w:bookmarkStart w:id="7" w:name="_bookmark3"/>
      <w:bookmarkEnd w:id="7"/>
      <w:r>
        <w:rPr>
          <w:rFonts w:hint="eastAsia" w:ascii="黑体" w:eastAsia="黑体"/>
        </w:rPr>
        <w:t>第二节 矿产资源概况一、矿产资源种类</w:t>
      </w:r>
    </w:p>
    <w:p w14:paraId="3A7F8B5C">
      <w:pPr>
        <w:pStyle w:val="2"/>
        <w:spacing w:before="215"/>
        <w:ind w:left="1060"/>
      </w:pPr>
      <w:r>
        <w:t xml:space="preserve">截止 </w:t>
      </w:r>
      <w:r>
        <w:rPr>
          <w:rFonts w:ascii="Times New Roman" w:eastAsia="Times New Roman"/>
        </w:rPr>
        <w:t xml:space="preserve">2020 </w:t>
      </w:r>
      <w:r>
        <w:t xml:space="preserve">年底，已发现矿产 </w:t>
      </w:r>
      <w:r>
        <w:rPr>
          <w:rFonts w:ascii="Times New Roman" w:eastAsia="Times New Roman"/>
        </w:rPr>
        <w:t xml:space="preserve">9 </w:t>
      </w:r>
      <w:r>
        <w:t>种（含亚类），即油页岩、</w:t>
      </w:r>
    </w:p>
    <w:p w14:paraId="4B17C091">
      <w:pPr>
        <w:spacing w:after="0"/>
        <w:sectPr>
          <w:footerReference r:id="rId5" w:type="default"/>
          <w:pgSz w:w="11910" w:h="16840"/>
          <w:pgMar w:top="1440" w:right="1180" w:bottom="1120" w:left="1340" w:header="0" w:footer="934" w:gutter="0"/>
          <w:pgNumType w:start="1"/>
          <w:cols w:space="720" w:num="1"/>
        </w:sectPr>
      </w:pPr>
    </w:p>
    <w:p w14:paraId="5FADAF3C">
      <w:pPr>
        <w:pStyle w:val="2"/>
        <w:spacing w:before="42" w:line="374" w:lineRule="auto"/>
        <w:ind w:left="460" w:right="618"/>
        <w:jc w:val="both"/>
      </w:pPr>
      <w:r>
        <w:rPr>
          <w:spacing w:val="-11"/>
        </w:rPr>
        <w:t>天然气、建筑用砂、陶粒页岩、砖瓦用粘土、泥炭、矿泉水、地</w:t>
      </w:r>
      <w:r>
        <w:rPr>
          <w:spacing w:val="-12"/>
        </w:rPr>
        <w:t>下水、二氧化碳气。其中，有查明资源储量的矿产有天然气、陶</w:t>
      </w:r>
      <w:r>
        <w:rPr>
          <w:spacing w:val="-13"/>
        </w:rPr>
        <w:t xml:space="preserve">粒页岩、砖瓦用粘土、矿泉水、二氧化碳气 </w:t>
      </w:r>
      <w:r>
        <w:rPr>
          <w:rFonts w:ascii="Times New Roman" w:eastAsia="Times New Roman"/>
        </w:rPr>
        <w:t xml:space="preserve">5 </w:t>
      </w:r>
      <w:r>
        <w:rPr>
          <w:spacing w:val="-7"/>
        </w:rPr>
        <w:t>种，未查明资源储</w:t>
      </w:r>
    </w:p>
    <w:p w14:paraId="67FF3BF5">
      <w:pPr>
        <w:pStyle w:val="2"/>
        <w:spacing w:before="1"/>
        <w:ind w:left="460"/>
        <w:jc w:val="both"/>
      </w:pPr>
      <w:r>
        <w:rPr>
          <w:spacing w:val="-10"/>
        </w:rPr>
        <w:t xml:space="preserve">量的矿产有油页岩、建筑用砂、泥炭、地下水 </w:t>
      </w:r>
      <w:r>
        <w:rPr>
          <w:rFonts w:ascii="Times New Roman" w:eastAsia="Times New Roman"/>
        </w:rPr>
        <w:t xml:space="preserve">4 </w:t>
      </w:r>
      <w:r>
        <w:rPr>
          <w:spacing w:val="-5"/>
        </w:rPr>
        <w:t>种。在有查明资</w:t>
      </w:r>
    </w:p>
    <w:p w14:paraId="247BC00F">
      <w:pPr>
        <w:pStyle w:val="2"/>
        <w:spacing w:before="215"/>
        <w:ind w:left="460"/>
        <w:jc w:val="both"/>
        <w:rPr>
          <w:rFonts w:ascii="Times New Roman" w:eastAsia="Times New Roman"/>
        </w:rPr>
      </w:pPr>
      <w:r>
        <w:rPr>
          <w:spacing w:val="-7"/>
        </w:rPr>
        <w:t xml:space="preserve">源储量的矿产中，能源矿产 </w:t>
      </w:r>
      <w:r>
        <w:rPr>
          <w:rFonts w:ascii="Times New Roman" w:eastAsia="Times New Roman"/>
        </w:rPr>
        <w:t>1</w:t>
      </w:r>
      <w:r>
        <w:rPr>
          <w:rFonts w:ascii="Times New Roman" w:eastAsia="Times New Roman"/>
          <w:spacing w:val="-2"/>
        </w:rPr>
        <w:t xml:space="preserve"> </w:t>
      </w:r>
      <w:r>
        <w:rPr>
          <w:spacing w:val="-12"/>
        </w:rPr>
        <w:t xml:space="preserve">种，非金属矿产 </w:t>
      </w:r>
      <w:r>
        <w:rPr>
          <w:rFonts w:ascii="Times New Roman" w:eastAsia="Times New Roman"/>
        </w:rPr>
        <w:t xml:space="preserve">2 </w:t>
      </w:r>
      <w:r>
        <w:rPr>
          <w:spacing w:val="-14"/>
        </w:rPr>
        <w:t xml:space="preserve">种，水气矿产 </w:t>
      </w:r>
      <w:r>
        <w:rPr>
          <w:rFonts w:ascii="Times New Roman" w:eastAsia="Times New Roman"/>
        </w:rPr>
        <w:t>2</w:t>
      </w:r>
    </w:p>
    <w:p w14:paraId="503AD8EA">
      <w:pPr>
        <w:pStyle w:val="2"/>
        <w:spacing w:before="216"/>
        <w:ind w:left="460"/>
        <w:jc w:val="both"/>
      </w:pPr>
      <w:r>
        <w:t xml:space="preserve">种（专栏 </w:t>
      </w:r>
      <w:r>
        <w:rPr>
          <w:rFonts w:ascii="Times New Roman" w:eastAsia="Times New Roman"/>
        </w:rPr>
        <w:t>1</w:t>
      </w:r>
      <w:r>
        <w:t xml:space="preserve">）。已开发利用的矿产 </w:t>
      </w:r>
      <w:r>
        <w:rPr>
          <w:rFonts w:ascii="Times New Roman" w:eastAsia="Times New Roman"/>
        </w:rPr>
        <w:t xml:space="preserve">4 </w:t>
      </w:r>
      <w:r>
        <w:t>种。</w:t>
      </w:r>
    </w:p>
    <w:p w14:paraId="712C76F5">
      <w:pPr>
        <w:pStyle w:val="2"/>
        <w:spacing w:before="5" w:after="1"/>
        <w:rPr>
          <w:sz w:val="21"/>
        </w:rPr>
      </w:pPr>
    </w:p>
    <w:tbl>
      <w:tblPr>
        <w:tblStyle w:val="3"/>
        <w:tblW w:w="8749" w:type="dxa"/>
        <w:tblInd w:w="3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835"/>
        <w:gridCol w:w="2240"/>
        <w:gridCol w:w="1353"/>
        <w:gridCol w:w="2231"/>
        <w:gridCol w:w="1274"/>
      </w:tblGrid>
      <w:tr w14:paraId="551BF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8749" w:type="dxa"/>
            <w:gridSpan w:val="6"/>
            <w:shd w:val="clear" w:color="auto" w:fill="99CCFF"/>
            <w:vAlign w:val="top"/>
          </w:tcPr>
          <w:p w14:paraId="2DDB6825">
            <w:pPr>
              <w:pStyle w:val="11"/>
              <w:tabs>
                <w:tab w:val="left" w:pos="1028"/>
              </w:tabs>
              <w:spacing w:before="75"/>
              <w:ind w:left="8"/>
              <w:rPr>
                <w:sz w:val="24"/>
              </w:rPr>
            </w:pPr>
            <w:r>
              <w:rPr>
                <w:sz w:val="24"/>
              </w:rPr>
              <w:t>专栏</w:t>
            </w:r>
            <w:r>
              <w:rPr>
                <w:spacing w:val="-60"/>
                <w:sz w:val="24"/>
              </w:rPr>
              <w:t xml:space="preserve"> </w:t>
            </w:r>
            <w:r>
              <w:rPr>
                <w:rFonts w:ascii="Times New Roman" w:eastAsia="Times New Roman"/>
                <w:sz w:val="24"/>
              </w:rPr>
              <w:t>1</w:t>
            </w:r>
            <w:r>
              <w:rPr>
                <w:rFonts w:ascii="Times New Roman" w:eastAsia="Times New Roman"/>
                <w:sz w:val="24"/>
              </w:rPr>
              <w:tab/>
            </w:r>
            <w:r>
              <w:rPr>
                <w:sz w:val="24"/>
              </w:rPr>
              <w:t>已发现和开发利用的矿产</w:t>
            </w:r>
          </w:p>
        </w:tc>
      </w:tr>
      <w:tr w14:paraId="7784C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816" w:type="dxa"/>
            <w:shd w:val="clear" w:color="auto" w:fill="CCFFFF"/>
            <w:vAlign w:val="top"/>
          </w:tcPr>
          <w:p w14:paraId="3759B2C7">
            <w:pPr>
              <w:pStyle w:val="11"/>
              <w:spacing w:before="157" w:line="242" w:lineRule="auto"/>
              <w:ind w:left="196" w:right="189"/>
              <w:jc w:val="left"/>
              <w:rPr>
                <w:sz w:val="21"/>
              </w:rPr>
            </w:pPr>
            <w:r>
              <w:rPr>
                <w:sz w:val="21"/>
              </w:rPr>
              <w:t>矿产种类</w:t>
            </w:r>
          </w:p>
        </w:tc>
        <w:tc>
          <w:tcPr>
            <w:tcW w:w="835" w:type="dxa"/>
            <w:shd w:val="clear" w:color="auto" w:fill="CCFFFF"/>
            <w:vAlign w:val="top"/>
          </w:tcPr>
          <w:p w14:paraId="4B400106">
            <w:pPr>
              <w:pStyle w:val="11"/>
              <w:spacing w:before="157" w:line="242" w:lineRule="auto"/>
              <w:ind w:left="206" w:right="199"/>
              <w:jc w:val="left"/>
              <w:rPr>
                <w:sz w:val="21"/>
              </w:rPr>
            </w:pPr>
            <w:r>
              <w:rPr>
                <w:sz w:val="21"/>
              </w:rPr>
              <w:t>矿产数量</w:t>
            </w:r>
          </w:p>
        </w:tc>
        <w:tc>
          <w:tcPr>
            <w:tcW w:w="2240" w:type="dxa"/>
            <w:shd w:val="clear" w:color="auto" w:fill="CCFFFF"/>
            <w:vAlign w:val="top"/>
          </w:tcPr>
          <w:p w14:paraId="0B45D0CD">
            <w:pPr>
              <w:pStyle w:val="11"/>
              <w:spacing w:before="157" w:line="242" w:lineRule="auto"/>
              <w:ind w:left="909" w:right="269" w:hanging="629"/>
              <w:jc w:val="left"/>
              <w:rPr>
                <w:sz w:val="21"/>
              </w:rPr>
            </w:pPr>
            <w:r>
              <w:rPr>
                <w:sz w:val="21"/>
              </w:rPr>
              <w:t>已查明资源储量的矿产</w:t>
            </w:r>
          </w:p>
        </w:tc>
        <w:tc>
          <w:tcPr>
            <w:tcW w:w="1353" w:type="dxa"/>
            <w:shd w:val="clear" w:color="auto" w:fill="CCFFFF"/>
            <w:vAlign w:val="top"/>
          </w:tcPr>
          <w:p w14:paraId="05D4D7B1">
            <w:pPr>
              <w:pStyle w:val="11"/>
              <w:spacing w:before="19" w:line="270" w:lineRule="atLeast"/>
              <w:ind w:left="150" w:right="141"/>
              <w:rPr>
                <w:sz w:val="21"/>
              </w:rPr>
            </w:pPr>
            <w:r>
              <w:rPr>
                <w:sz w:val="21"/>
              </w:rPr>
              <w:t>已查明资源储量的矿产数量</w:t>
            </w:r>
          </w:p>
        </w:tc>
        <w:tc>
          <w:tcPr>
            <w:tcW w:w="2231" w:type="dxa"/>
            <w:shd w:val="clear" w:color="auto" w:fill="CCFFFF"/>
            <w:vAlign w:val="top"/>
          </w:tcPr>
          <w:p w14:paraId="6DE81B80">
            <w:pPr>
              <w:pStyle w:val="11"/>
              <w:spacing w:before="157" w:line="242" w:lineRule="auto"/>
              <w:ind w:left="904" w:right="265" w:hanging="629"/>
              <w:jc w:val="left"/>
              <w:rPr>
                <w:sz w:val="21"/>
              </w:rPr>
            </w:pPr>
            <w:r>
              <w:rPr>
                <w:sz w:val="21"/>
              </w:rPr>
              <w:t>未查明资源储量的矿产</w:t>
            </w:r>
          </w:p>
        </w:tc>
        <w:tc>
          <w:tcPr>
            <w:tcW w:w="1274" w:type="dxa"/>
            <w:shd w:val="clear" w:color="auto" w:fill="CCFFFF"/>
            <w:vAlign w:val="top"/>
          </w:tcPr>
          <w:p w14:paraId="053EFF75">
            <w:pPr>
              <w:pStyle w:val="11"/>
              <w:spacing w:before="19" w:line="270" w:lineRule="atLeast"/>
              <w:ind w:left="111" w:right="101"/>
              <w:rPr>
                <w:sz w:val="21"/>
              </w:rPr>
            </w:pPr>
            <w:r>
              <w:rPr>
                <w:sz w:val="21"/>
              </w:rPr>
              <w:t>未查明资源储量的矿产数量</w:t>
            </w:r>
          </w:p>
        </w:tc>
      </w:tr>
      <w:tr w14:paraId="3EB12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816" w:type="dxa"/>
            <w:shd w:val="clear" w:color="auto" w:fill="CCFFFF"/>
            <w:vAlign w:val="top"/>
          </w:tcPr>
          <w:p w14:paraId="0794B62B">
            <w:pPr>
              <w:pStyle w:val="11"/>
              <w:spacing w:before="7"/>
              <w:jc w:val="left"/>
              <w:rPr>
                <w:sz w:val="15"/>
              </w:rPr>
            </w:pPr>
          </w:p>
          <w:p w14:paraId="760874F6">
            <w:pPr>
              <w:pStyle w:val="11"/>
              <w:spacing w:line="244" w:lineRule="auto"/>
              <w:ind w:left="196" w:right="189"/>
              <w:jc w:val="left"/>
              <w:rPr>
                <w:sz w:val="21"/>
              </w:rPr>
            </w:pPr>
            <w:r>
              <w:rPr>
                <w:sz w:val="21"/>
              </w:rPr>
              <w:t>能源矿产</w:t>
            </w:r>
          </w:p>
        </w:tc>
        <w:tc>
          <w:tcPr>
            <w:tcW w:w="835" w:type="dxa"/>
            <w:shd w:val="clear" w:color="auto" w:fill="CCFFFF"/>
            <w:vAlign w:val="top"/>
          </w:tcPr>
          <w:p w14:paraId="3CB35791">
            <w:pPr>
              <w:pStyle w:val="11"/>
              <w:spacing w:before="4"/>
              <w:jc w:val="left"/>
              <w:rPr>
                <w:sz w:val="27"/>
              </w:rPr>
            </w:pPr>
          </w:p>
          <w:p w14:paraId="3B3FB73E">
            <w:pPr>
              <w:pStyle w:val="11"/>
              <w:ind w:left="8"/>
              <w:rPr>
                <w:rFonts w:ascii="Times New Roman"/>
                <w:sz w:val="21"/>
              </w:rPr>
            </w:pPr>
            <w:r>
              <w:rPr>
                <w:rFonts w:ascii="Times New Roman"/>
                <w:w w:val="99"/>
                <w:sz w:val="21"/>
              </w:rPr>
              <w:t>2</w:t>
            </w:r>
          </w:p>
        </w:tc>
        <w:tc>
          <w:tcPr>
            <w:tcW w:w="2240" w:type="dxa"/>
            <w:shd w:val="clear" w:color="auto" w:fill="CCFFFF"/>
            <w:vAlign w:val="top"/>
          </w:tcPr>
          <w:p w14:paraId="7F6073D7">
            <w:pPr>
              <w:pStyle w:val="11"/>
              <w:spacing w:before="2"/>
              <w:jc w:val="left"/>
              <w:rPr>
                <w:sz w:val="26"/>
              </w:rPr>
            </w:pPr>
          </w:p>
          <w:p w14:paraId="7BD8106E">
            <w:pPr>
              <w:pStyle w:val="11"/>
              <w:spacing w:before="1"/>
              <w:ind w:left="84" w:right="78"/>
              <w:rPr>
                <w:sz w:val="21"/>
              </w:rPr>
            </w:pPr>
            <w:r>
              <w:rPr>
                <w:sz w:val="21"/>
              </w:rPr>
              <w:t>天然气</w:t>
            </w:r>
          </w:p>
        </w:tc>
        <w:tc>
          <w:tcPr>
            <w:tcW w:w="1353" w:type="dxa"/>
            <w:shd w:val="clear" w:color="auto" w:fill="CCFFFF"/>
            <w:vAlign w:val="top"/>
          </w:tcPr>
          <w:p w14:paraId="0D323C0A">
            <w:pPr>
              <w:pStyle w:val="11"/>
              <w:spacing w:before="4"/>
              <w:jc w:val="left"/>
              <w:rPr>
                <w:sz w:val="27"/>
              </w:rPr>
            </w:pPr>
          </w:p>
          <w:p w14:paraId="2DFA0B7B">
            <w:pPr>
              <w:pStyle w:val="11"/>
              <w:ind w:left="7"/>
              <w:rPr>
                <w:rFonts w:ascii="Times New Roman"/>
                <w:sz w:val="21"/>
              </w:rPr>
            </w:pPr>
            <w:r>
              <w:rPr>
                <w:rFonts w:ascii="Times New Roman"/>
                <w:w w:val="99"/>
                <w:sz w:val="21"/>
              </w:rPr>
              <w:t>1</w:t>
            </w:r>
          </w:p>
        </w:tc>
        <w:tc>
          <w:tcPr>
            <w:tcW w:w="2231" w:type="dxa"/>
            <w:shd w:val="clear" w:color="auto" w:fill="CCFFFF"/>
            <w:vAlign w:val="top"/>
          </w:tcPr>
          <w:p w14:paraId="0AFD3EE3">
            <w:pPr>
              <w:pStyle w:val="11"/>
              <w:spacing w:before="2"/>
              <w:jc w:val="left"/>
              <w:rPr>
                <w:sz w:val="26"/>
              </w:rPr>
            </w:pPr>
          </w:p>
          <w:p w14:paraId="4E203BA1">
            <w:pPr>
              <w:pStyle w:val="11"/>
              <w:spacing w:before="1"/>
              <w:ind w:left="358" w:right="353"/>
              <w:rPr>
                <w:sz w:val="21"/>
              </w:rPr>
            </w:pPr>
            <w:r>
              <w:rPr>
                <w:sz w:val="21"/>
              </w:rPr>
              <w:t>油页岩</w:t>
            </w:r>
          </w:p>
        </w:tc>
        <w:tc>
          <w:tcPr>
            <w:tcW w:w="1274" w:type="dxa"/>
            <w:shd w:val="clear" w:color="auto" w:fill="CCFFFF"/>
            <w:vAlign w:val="top"/>
          </w:tcPr>
          <w:p w14:paraId="6839F5B5">
            <w:pPr>
              <w:pStyle w:val="11"/>
              <w:spacing w:before="4"/>
              <w:jc w:val="left"/>
              <w:rPr>
                <w:sz w:val="27"/>
              </w:rPr>
            </w:pPr>
          </w:p>
          <w:p w14:paraId="02CD8018">
            <w:pPr>
              <w:pStyle w:val="11"/>
              <w:ind w:left="583"/>
              <w:jc w:val="left"/>
              <w:rPr>
                <w:rFonts w:ascii="Times New Roman"/>
                <w:sz w:val="21"/>
              </w:rPr>
            </w:pPr>
            <w:r>
              <w:rPr>
                <w:rFonts w:ascii="Times New Roman"/>
                <w:w w:val="99"/>
                <w:sz w:val="21"/>
              </w:rPr>
              <w:t>1</w:t>
            </w:r>
          </w:p>
        </w:tc>
      </w:tr>
      <w:tr w14:paraId="6794C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trPr>
        <w:tc>
          <w:tcPr>
            <w:tcW w:w="816" w:type="dxa"/>
            <w:shd w:val="clear" w:color="auto" w:fill="CCFFFF"/>
            <w:vAlign w:val="top"/>
          </w:tcPr>
          <w:p w14:paraId="04CE26AC">
            <w:pPr>
              <w:pStyle w:val="11"/>
              <w:spacing w:before="150" w:line="242" w:lineRule="auto"/>
              <w:ind w:left="196" w:right="189"/>
              <w:jc w:val="both"/>
              <w:rPr>
                <w:sz w:val="21"/>
              </w:rPr>
            </w:pPr>
            <w:r>
              <w:rPr>
                <w:sz w:val="21"/>
              </w:rPr>
              <w:t>非金属矿产</w:t>
            </w:r>
          </w:p>
        </w:tc>
        <w:tc>
          <w:tcPr>
            <w:tcW w:w="835" w:type="dxa"/>
            <w:shd w:val="clear" w:color="auto" w:fill="CCFFFF"/>
            <w:vAlign w:val="top"/>
          </w:tcPr>
          <w:p w14:paraId="7CDEBF13">
            <w:pPr>
              <w:pStyle w:val="11"/>
              <w:jc w:val="left"/>
              <w:rPr>
                <w:sz w:val="22"/>
              </w:rPr>
            </w:pPr>
          </w:p>
          <w:p w14:paraId="6BAF4DEE">
            <w:pPr>
              <w:pStyle w:val="11"/>
              <w:spacing w:before="155"/>
              <w:ind w:left="8"/>
              <w:rPr>
                <w:rFonts w:ascii="Times New Roman"/>
                <w:sz w:val="21"/>
              </w:rPr>
            </w:pPr>
            <w:r>
              <w:rPr>
                <w:rFonts w:ascii="Times New Roman"/>
                <w:w w:val="99"/>
                <w:sz w:val="21"/>
              </w:rPr>
              <w:t>4</w:t>
            </w:r>
          </w:p>
        </w:tc>
        <w:tc>
          <w:tcPr>
            <w:tcW w:w="2240" w:type="dxa"/>
            <w:shd w:val="clear" w:color="auto" w:fill="CCFFFF"/>
            <w:vAlign w:val="top"/>
          </w:tcPr>
          <w:p w14:paraId="2DB5DE88">
            <w:pPr>
              <w:pStyle w:val="11"/>
              <w:jc w:val="left"/>
              <w:rPr>
                <w:sz w:val="20"/>
              </w:rPr>
            </w:pPr>
          </w:p>
          <w:p w14:paraId="03683FF4">
            <w:pPr>
              <w:pStyle w:val="11"/>
              <w:spacing w:before="167"/>
              <w:ind w:left="87" w:right="78"/>
              <w:rPr>
                <w:sz w:val="21"/>
              </w:rPr>
            </w:pPr>
            <w:r>
              <w:rPr>
                <w:sz w:val="21"/>
                <w:u w:val="single"/>
              </w:rPr>
              <w:t>陶粒页岩</w:t>
            </w:r>
            <w:r>
              <w:rPr>
                <w:spacing w:val="-75"/>
                <w:sz w:val="21"/>
              </w:rPr>
              <w:t>、</w:t>
            </w:r>
            <w:r>
              <w:rPr>
                <w:sz w:val="21"/>
                <w:u w:val="single"/>
              </w:rPr>
              <w:t>砖瓦用粘土</w:t>
            </w:r>
          </w:p>
        </w:tc>
        <w:tc>
          <w:tcPr>
            <w:tcW w:w="1353" w:type="dxa"/>
            <w:shd w:val="clear" w:color="auto" w:fill="CCFFFF"/>
            <w:vAlign w:val="top"/>
          </w:tcPr>
          <w:p w14:paraId="7DCCF0E1">
            <w:pPr>
              <w:pStyle w:val="11"/>
              <w:jc w:val="left"/>
              <w:rPr>
                <w:sz w:val="22"/>
              </w:rPr>
            </w:pPr>
          </w:p>
          <w:p w14:paraId="18629E7D">
            <w:pPr>
              <w:pStyle w:val="11"/>
              <w:spacing w:before="155"/>
              <w:ind w:left="7"/>
              <w:rPr>
                <w:rFonts w:ascii="Times New Roman"/>
                <w:sz w:val="21"/>
              </w:rPr>
            </w:pPr>
            <w:r>
              <w:rPr>
                <w:rFonts w:ascii="Times New Roman"/>
                <w:w w:val="99"/>
                <w:sz w:val="21"/>
              </w:rPr>
              <w:t>2</w:t>
            </w:r>
          </w:p>
        </w:tc>
        <w:tc>
          <w:tcPr>
            <w:tcW w:w="2231" w:type="dxa"/>
            <w:shd w:val="clear" w:color="auto" w:fill="CCFFFF"/>
            <w:vAlign w:val="top"/>
          </w:tcPr>
          <w:p w14:paraId="7990518E">
            <w:pPr>
              <w:pStyle w:val="11"/>
              <w:jc w:val="left"/>
              <w:rPr>
                <w:sz w:val="20"/>
              </w:rPr>
            </w:pPr>
          </w:p>
          <w:p w14:paraId="477118A6">
            <w:pPr>
              <w:pStyle w:val="11"/>
              <w:spacing w:before="167"/>
              <w:ind w:left="358" w:right="353"/>
              <w:rPr>
                <w:sz w:val="21"/>
              </w:rPr>
            </w:pPr>
            <w:r>
              <w:rPr>
                <w:sz w:val="21"/>
                <w:u w:val="single"/>
              </w:rPr>
              <w:t>建筑用砂</w:t>
            </w:r>
            <w:r>
              <w:rPr>
                <w:sz w:val="21"/>
              </w:rPr>
              <w:t>、泥炭</w:t>
            </w:r>
          </w:p>
        </w:tc>
        <w:tc>
          <w:tcPr>
            <w:tcW w:w="1274" w:type="dxa"/>
            <w:shd w:val="clear" w:color="auto" w:fill="CCFFFF"/>
            <w:vAlign w:val="top"/>
          </w:tcPr>
          <w:p w14:paraId="38427CA1">
            <w:pPr>
              <w:pStyle w:val="11"/>
              <w:jc w:val="left"/>
              <w:rPr>
                <w:sz w:val="22"/>
              </w:rPr>
            </w:pPr>
          </w:p>
          <w:p w14:paraId="1A206E89">
            <w:pPr>
              <w:pStyle w:val="11"/>
              <w:spacing w:before="155"/>
              <w:ind w:left="583"/>
              <w:jc w:val="left"/>
              <w:rPr>
                <w:rFonts w:ascii="Times New Roman"/>
                <w:sz w:val="21"/>
              </w:rPr>
            </w:pPr>
            <w:r>
              <w:rPr>
                <w:rFonts w:ascii="Times New Roman"/>
                <w:w w:val="99"/>
                <w:sz w:val="21"/>
              </w:rPr>
              <w:t>2</w:t>
            </w:r>
          </w:p>
        </w:tc>
      </w:tr>
      <w:tr w14:paraId="3FBB5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816" w:type="dxa"/>
            <w:shd w:val="clear" w:color="auto" w:fill="CCFFFF"/>
            <w:vAlign w:val="top"/>
          </w:tcPr>
          <w:p w14:paraId="140BDC4A">
            <w:pPr>
              <w:pStyle w:val="11"/>
              <w:spacing w:before="81" w:line="244" w:lineRule="auto"/>
              <w:ind w:left="196" w:right="189"/>
              <w:jc w:val="left"/>
              <w:rPr>
                <w:sz w:val="21"/>
              </w:rPr>
            </w:pPr>
            <w:r>
              <w:rPr>
                <w:sz w:val="21"/>
              </w:rPr>
              <w:t>水气矿产</w:t>
            </w:r>
          </w:p>
        </w:tc>
        <w:tc>
          <w:tcPr>
            <w:tcW w:w="835" w:type="dxa"/>
            <w:shd w:val="clear" w:color="auto" w:fill="CCFFFF"/>
            <w:vAlign w:val="top"/>
          </w:tcPr>
          <w:p w14:paraId="4C2B7B8E">
            <w:pPr>
              <w:pStyle w:val="11"/>
              <w:spacing w:before="1"/>
              <w:jc w:val="left"/>
              <w:rPr>
                <w:sz w:val="18"/>
              </w:rPr>
            </w:pPr>
          </w:p>
          <w:p w14:paraId="5079115B">
            <w:pPr>
              <w:pStyle w:val="11"/>
              <w:ind w:left="8"/>
              <w:rPr>
                <w:rFonts w:ascii="Times New Roman"/>
                <w:sz w:val="21"/>
              </w:rPr>
            </w:pPr>
            <w:r>
              <w:rPr>
                <w:rFonts w:ascii="Times New Roman"/>
                <w:w w:val="99"/>
                <w:sz w:val="21"/>
              </w:rPr>
              <w:t>3</w:t>
            </w:r>
          </w:p>
        </w:tc>
        <w:tc>
          <w:tcPr>
            <w:tcW w:w="2240" w:type="dxa"/>
            <w:shd w:val="clear" w:color="auto" w:fill="CCFFFF"/>
            <w:vAlign w:val="top"/>
          </w:tcPr>
          <w:p w14:paraId="1E3C750A">
            <w:pPr>
              <w:pStyle w:val="11"/>
              <w:jc w:val="left"/>
              <w:rPr>
                <w:sz w:val="17"/>
              </w:rPr>
            </w:pPr>
          </w:p>
          <w:p w14:paraId="09BB1256">
            <w:pPr>
              <w:pStyle w:val="11"/>
              <w:ind w:left="84" w:right="78"/>
              <w:rPr>
                <w:sz w:val="21"/>
              </w:rPr>
            </w:pPr>
            <w:r>
              <w:rPr>
                <w:sz w:val="21"/>
                <w:u w:val="single"/>
              </w:rPr>
              <w:t>矿泉水</w:t>
            </w:r>
            <w:r>
              <w:rPr>
                <w:sz w:val="21"/>
              </w:rPr>
              <w:t>、二氧化碳气</w:t>
            </w:r>
          </w:p>
        </w:tc>
        <w:tc>
          <w:tcPr>
            <w:tcW w:w="1353" w:type="dxa"/>
            <w:shd w:val="clear" w:color="auto" w:fill="CCFFFF"/>
            <w:vAlign w:val="top"/>
          </w:tcPr>
          <w:p w14:paraId="631D8734">
            <w:pPr>
              <w:pStyle w:val="11"/>
              <w:spacing w:before="1"/>
              <w:jc w:val="left"/>
              <w:rPr>
                <w:sz w:val="18"/>
              </w:rPr>
            </w:pPr>
          </w:p>
          <w:p w14:paraId="3FD11E1D">
            <w:pPr>
              <w:pStyle w:val="11"/>
              <w:ind w:left="7"/>
              <w:rPr>
                <w:rFonts w:ascii="Times New Roman"/>
                <w:sz w:val="21"/>
              </w:rPr>
            </w:pPr>
            <w:r>
              <w:rPr>
                <w:rFonts w:ascii="Times New Roman"/>
                <w:w w:val="99"/>
                <w:sz w:val="21"/>
              </w:rPr>
              <w:t>2</w:t>
            </w:r>
          </w:p>
        </w:tc>
        <w:tc>
          <w:tcPr>
            <w:tcW w:w="2231" w:type="dxa"/>
            <w:shd w:val="clear" w:color="auto" w:fill="CCFFFF"/>
            <w:vAlign w:val="top"/>
          </w:tcPr>
          <w:p w14:paraId="25B0070E">
            <w:pPr>
              <w:pStyle w:val="11"/>
              <w:jc w:val="left"/>
              <w:rPr>
                <w:sz w:val="17"/>
              </w:rPr>
            </w:pPr>
          </w:p>
          <w:p w14:paraId="4FFD92D1">
            <w:pPr>
              <w:pStyle w:val="11"/>
              <w:ind w:left="358" w:right="353"/>
              <w:rPr>
                <w:sz w:val="21"/>
              </w:rPr>
            </w:pPr>
            <w:r>
              <w:rPr>
                <w:sz w:val="21"/>
              </w:rPr>
              <w:t>地下水</w:t>
            </w:r>
          </w:p>
        </w:tc>
        <w:tc>
          <w:tcPr>
            <w:tcW w:w="1274" w:type="dxa"/>
            <w:shd w:val="clear" w:color="auto" w:fill="CCFFFF"/>
            <w:vAlign w:val="top"/>
          </w:tcPr>
          <w:p w14:paraId="43611498">
            <w:pPr>
              <w:pStyle w:val="11"/>
              <w:spacing w:before="1"/>
              <w:jc w:val="left"/>
              <w:rPr>
                <w:sz w:val="18"/>
              </w:rPr>
            </w:pPr>
          </w:p>
          <w:p w14:paraId="3194FF24">
            <w:pPr>
              <w:pStyle w:val="11"/>
              <w:ind w:left="583"/>
              <w:jc w:val="left"/>
              <w:rPr>
                <w:rFonts w:ascii="Times New Roman"/>
                <w:sz w:val="21"/>
              </w:rPr>
            </w:pPr>
            <w:r>
              <w:rPr>
                <w:rFonts w:ascii="Times New Roman"/>
                <w:w w:val="99"/>
                <w:sz w:val="21"/>
              </w:rPr>
              <w:t>1</w:t>
            </w:r>
          </w:p>
        </w:tc>
      </w:tr>
      <w:tr w14:paraId="4001F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816" w:type="dxa"/>
            <w:shd w:val="clear" w:color="auto" w:fill="CCFFFF"/>
            <w:vAlign w:val="top"/>
          </w:tcPr>
          <w:p w14:paraId="37AF09F3">
            <w:pPr>
              <w:pStyle w:val="11"/>
              <w:spacing w:before="138"/>
              <w:ind w:left="196"/>
              <w:jc w:val="left"/>
              <w:rPr>
                <w:sz w:val="21"/>
              </w:rPr>
            </w:pPr>
            <w:r>
              <w:rPr>
                <w:sz w:val="21"/>
              </w:rPr>
              <w:t>合计</w:t>
            </w:r>
          </w:p>
        </w:tc>
        <w:tc>
          <w:tcPr>
            <w:tcW w:w="835" w:type="dxa"/>
            <w:shd w:val="clear" w:color="auto" w:fill="CCFFFF"/>
            <w:vAlign w:val="top"/>
          </w:tcPr>
          <w:p w14:paraId="6C28F525">
            <w:pPr>
              <w:pStyle w:val="11"/>
              <w:spacing w:before="152"/>
              <w:ind w:left="8"/>
              <w:rPr>
                <w:rFonts w:ascii="Times New Roman"/>
                <w:sz w:val="21"/>
              </w:rPr>
            </w:pPr>
            <w:r>
              <w:rPr>
                <w:rFonts w:ascii="Times New Roman"/>
                <w:w w:val="99"/>
                <w:sz w:val="21"/>
              </w:rPr>
              <w:t>9</w:t>
            </w:r>
          </w:p>
        </w:tc>
        <w:tc>
          <w:tcPr>
            <w:tcW w:w="2240" w:type="dxa"/>
            <w:shd w:val="clear" w:color="auto" w:fill="CCFFFF"/>
            <w:vAlign w:val="top"/>
          </w:tcPr>
          <w:p w14:paraId="60867150">
            <w:pPr>
              <w:pStyle w:val="11"/>
              <w:jc w:val="left"/>
              <w:rPr>
                <w:rFonts w:ascii="Times New Roman"/>
                <w:sz w:val="26"/>
              </w:rPr>
            </w:pPr>
          </w:p>
        </w:tc>
        <w:tc>
          <w:tcPr>
            <w:tcW w:w="1353" w:type="dxa"/>
            <w:shd w:val="clear" w:color="auto" w:fill="CCFFFF"/>
            <w:vAlign w:val="top"/>
          </w:tcPr>
          <w:p w14:paraId="7F10BC84">
            <w:pPr>
              <w:pStyle w:val="11"/>
              <w:spacing w:before="152"/>
              <w:ind w:left="7"/>
              <w:rPr>
                <w:rFonts w:ascii="Times New Roman"/>
                <w:sz w:val="21"/>
              </w:rPr>
            </w:pPr>
            <w:r>
              <w:rPr>
                <w:rFonts w:ascii="Times New Roman"/>
                <w:w w:val="99"/>
                <w:sz w:val="21"/>
              </w:rPr>
              <w:t>5</w:t>
            </w:r>
          </w:p>
        </w:tc>
        <w:tc>
          <w:tcPr>
            <w:tcW w:w="2231" w:type="dxa"/>
            <w:shd w:val="clear" w:color="auto" w:fill="CCFFFF"/>
            <w:vAlign w:val="top"/>
          </w:tcPr>
          <w:p w14:paraId="2D4092FE">
            <w:pPr>
              <w:pStyle w:val="11"/>
              <w:jc w:val="left"/>
              <w:rPr>
                <w:rFonts w:ascii="Times New Roman"/>
                <w:sz w:val="26"/>
              </w:rPr>
            </w:pPr>
          </w:p>
        </w:tc>
        <w:tc>
          <w:tcPr>
            <w:tcW w:w="1274" w:type="dxa"/>
            <w:shd w:val="clear" w:color="auto" w:fill="CCFFFF"/>
            <w:vAlign w:val="top"/>
          </w:tcPr>
          <w:p w14:paraId="2B2313E5">
            <w:pPr>
              <w:pStyle w:val="11"/>
              <w:spacing w:before="152"/>
              <w:ind w:left="583"/>
              <w:jc w:val="left"/>
              <w:rPr>
                <w:rFonts w:ascii="Times New Roman"/>
                <w:sz w:val="21"/>
              </w:rPr>
            </w:pPr>
            <w:r>
              <w:rPr>
                <w:rFonts w:ascii="Times New Roman"/>
                <w:w w:val="99"/>
                <w:sz w:val="21"/>
              </w:rPr>
              <w:t>4</w:t>
            </w:r>
          </w:p>
        </w:tc>
      </w:tr>
      <w:tr w14:paraId="3AAD2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749" w:type="dxa"/>
            <w:gridSpan w:val="6"/>
            <w:shd w:val="clear" w:color="auto" w:fill="CCFFFF"/>
            <w:vAlign w:val="top"/>
          </w:tcPr>
          <w:p w14:paraId="6C97DA57">
            <w:pPr>
              <w:pStyle w:val="11"/>
              <w:spacing w:before="142"/>
              <w:ind w:left="8"/>
              <w:rPr>
                <w:sz w:val="21"/>
              </w:rPr>
            </w:pPr>
            <w:r>
              <w:rPr>
                <w:sz w:val="21"/>
              </w:rPr>
              <w:t>注：加下划线者为已经开发利用的矿产</w:t>
            </w:r>
          </w:p>
        </w:tc>
      </w:tr>
    </w:tbl>
    <w:p w14:paraId="76C7B8C3">
      <w:pPr>
        <w:pStyle w:val="2"/>
        <w:spacing w:before="182"/>
        <w:ind w:left="1060"/>
        <w:rPr>
          <w:rFonts w:hint="eastAsia" w:ascii="黑体" w:eastAsia="黑体"/>
        </w:rPr>
      </w:pPr>
      <w:r>
        <w:rPr>
          <w:rFonts w:hint="eastAsia" w:ascii="黑体" w:eastAsia="黑体"/>
        </w:rPr>
        <w:t>二、矿产资源分布</w:t>
      </w:r>
    </w:p>
    <w:p w14:paraId="796B60CC">
      <w:pPr>
        <w:pStyle w:val="2"/>
        <w:spacing w:before="216" w:line="374" w:lineRule="auto"/>
        <w:ind w:left="460" w:right="618" w:firstLine="600"/>
        <w:jc w:val="both"/>
      </w:pPr>
      <w:r>
        <w:rPr>
          <w:spacing w:val="-10"/>
        </w:rPr>
        <w:t>从地域上分，油页岩主要集中分布在大青咀、夏家店镇；天</w:t>
      </w:r>
      <w:r>
        <w:rPr>
          <w:spacing w:val="-6"/>
        </w:rPr>
        <w:t>然气主要分布在同太乡往农安县方向吉祥村附近；建筑用砂及砖</w:t>
      </w:r>
      <w:r>
        <w:rPr>
          <w:spacing w:val="6"/>
        </w:rPr>
        <w:t>瓦用粘土分布在德惠市多个乡镇内；陶粒页岩主要分布在杨树</w:t>
      </w:r>
      <w:r>
        <w:rPr>
          <w:spacing w:val="-10"/>
        </w:rPr>
        <w:t>乡；矿泉水主要分布在大房身镇及大青咀镇；二氧化碳气田主要</w:t>
      </w:r>
      <w:r>
        <w:t>分布在郭家镇和农安县万金塔乡接壤地段。</w:t>
      </w:r>
    </w:p>
    <w:p w14:paraId="5357AB96">
      <w:pPr>
        <w:pStyle w:val="2"/>
        <w:spacing w:before="2"/>
        <w:ind w:left="1060"/>
        <w:rPr>
          <w:rFonts w:hint="eastAsia" w:ascii="黑体" w:eastAsia="黑体"/>
        </w:rPr>
      </w:pPr>
      <w:r>
        <w:rPr>
          <w:rFonts w:hint="eastAsia" w:ascii="黑体" w:eastAsia="黑体"/>
        </w:rPr>
        <w:t>三、第三轮规划实施成效</w:t>
      </w:r>
    </w:p>
    <w:p w14:paraId="4CF7E3CE">
      <w:pPr>
        <w:spacing w:before="116"/>
        <w:ind w:left="1060" w:right="0" w:firstLine="0"/>
        <w:jc w:val="left"/>
        <w:rPr>
          <w:sz w:val="30"/>
        </w:rPr>
      </w:pPr>
      <w:r>
        <w:rPr>
          <w:rFonts w:hint="eastAsia" w:ascii="Microsoft JhengHei" w:eastAsia="Microsoft JhengHei"/>
          <w:b/>
          <w:sz w:val="30"/>
        </w:rPr>
        <w:t>矿产资源开发利用结构逐步优化。</w:t>
      </w:r>
      <w:r>
        <w:rPr>
          <w:sz w:val="30"/>
        </w:rPr>
        <w:t>按照统筹规划、因地制宜、</w:t>
      </w:r>
    </w:p>
    <w:p w14:paraId="50F271CF">
      <w:pPr>
        <w:spacing w:after="0"/>
        <w:jc w:val="left"/>
        <w:rPr>
          <w:sz w:val="30"/>
        </w:rPr>
        <w:sectPr>
          <w:pgSz w:w="11910" w:h="16840"/>
          <w:pgMar w:top="1560" w:right="1180" w:bottom="1120" w:left="1340" w:header="0" w:footer="934" w:gutter="0"/>
          <w:cols w:space="720" w:num="1"/>
        </w:sectPr>
      </w:pPr>
    </w:p>
    <w:p w14:paraId="149293B1">
      <w:pPr>
        <w:pStyle w:val="2"/>
        <w:spacing w:before="42" w:line="374" w:lineRule="auto"/>
        <w:ind w:left="460" w:right="617"/>
        <w:jc w:val="both"/>
        <w:rPr>
          <w:rFonts w:ascii="Times New Roman" w:eastAsia="Times New Roman"/>
        </w:rPr>
      </w:pPr>
      <w:r>
        <w:rPr>
          <w:spacing w:val="-12"/>
        </w:rPr>
        <w:t>发挥优势、规模开采、集约利用的原则，不断对域内矿山布局进</w:t>
      </w:r>
      <w:r>
        <w:rPr>
          <w:spacing w:val="-10"/>
        </w:rPr>
        <w:t>行优化调整，逐步淘汰关闭生产能力低下、工艺设备落后、影响</w:t>
      </w:r>
      <w:r>
        <w:rPr>
          <w:spacing w:val="-12"/>
        </w:rPr>
        <w:t xml:space="preserve">生态环境以及安全生产条件差的矿山，取得了较好效果。与 </w:t>
      </w:r>
      <w:r>
        <w:rPr>
          <w:rFonts w:ascii="Times New Roman" w:eastAsia="Times New Roman"/>
          <w:spacing w:val="-4"/>
        </w:rPr>
        <w:t>2015</w:t>
      </w:r>
    </w:p>
    <w:p w14:paraId="753C6CD6">
      <w:pPr>
        <w:pStyle w:val="2"/>
        <w:spacing w:before="1"/>
        <w:ind w:left="460"/>
        <w:jc w:val="both"/>
      </w:pPr>
      <w:r>
        <w:t>年相比，</w:t>
      </w:r>
      <w:r>
        <w:rPr>
          <w:rFonts w:ascii="Times New Roman" w:eastAsia="Times New Roman"/>
        </w:rPr>
        <w:t>2020</w:t>
      </w:r>
      <w:r>
        <w:rPr>
          <w:rFonts w:ascii="Times New Roman" w:eastAsia="Times New Roman"/>
          <w:spacing w:val="-4"/>
        </w:rPr>
        <w:t xml:space="preserve"> </w:t>
      </w:r>
      <w:r>
        <w:rPr>
          <w:spacing w:val="-8"/>
        </w:rPr>
        <w:t xml:space="preserve">年全市矿山企业数量由 </w:t>
      </w:r>
      <w:r>
        <w:rPr>
          <w:rFonts w:ascii="Times New Roman" w:eastAsia="Times New Roman"/>
        </w:rPr>
        <w:t>25</w:t>
      </w:r>
      <w:r>
        <w:rPr>
          <w:rFonts w:ascii="Times New Roman" w:eastAsia="Times New Roman"/>
          <w:spacing w:val="-3"/>
        </w:rPr>
        <w:t xml:space="preserve"> </w:t>
      </w:r>
      <w:r>
        <w:rPr>
          <w:spacing w:val="-16"/>
        </w:rPr>
        <w:t xml:space="preserve">个减少到 </w:t>
      </w:r>
      <w:r>
        <w:rPr>
          <w:rFonts w:ascii="Times New Roman" w:eastAsia="Times New Roman"/>
        </w:rPr>
        <w:t>3</w:t>
      </w:r>
      <w:r>
        <w:rPr>
          <w:rFonts w:ascii="Times New Roman" w:eastAsia="Times New Roman"/>
          <w:spacing w:val="-2"/>
        </w:rPr>
        <w:t xml:space="preserve"> </w:t>
      </w:r>
      <w:r>
        <w:rPr>
          <w:spacing w:val="-3"/>
        </w:rPr>
        <w:t>个，减少了</w:t>
      </w:r>
    </w:p>
    <w:p w14:paraId="467BA25F">
      <w:pPr>
        <w:pStyle w:val="2"/>
        <w:spacing w:before="215"/>
        <w:ind w:left="460"/>
      </w:pPr>
      <w:r>
        <w:rPr>
          <w:rFonts w:ascii="Times New Roman" w:eastAsia="Times New Roman"/>
        </w:rPr>
        <w:t>88%</w:t>
      </w:r>
      <w:r>
        <w:t>。</w:t>
      </w:r>
    </w:p>
    <w:p w14:paraId="401C63D3">
      <w:pPr>
        <w:pStyle w:val="2"/>
        <w:spacing w:before="36" w:line="600" w:lineRule="exact"/>
        <w:ind w:left="460" w:right="618" w:firstLine="600"/>
        <w:jc w:val="both"/>
      </w:pPr>
      <w:r>
        <w:rPr>
          <w:rFonts w:hint="eastAsia" w:ascii="Microsoft JhengHei" w:eastAsia="Microsoft JhengHei"/>
          <w:b/>
          <w:spacing w:val="-7"/>
        </w:rPr>
        <w:t>矿山地质环境保护与治理效果显著。</w:t>
      </w:r>
      <w:r>
        <w:rPr>
          <w:spacing w:val="-2"/>
        </w:rPr>
        <w:t>积极开展矿山地质环境</w:t>
      </w:r>
      <w:r>
        <w:rPr>
          <w:spacing w:val="-11"/>
        </w:rPr>
        <w:t>保护与治理恢复工作，极大地提高了在资源开发中环境保护意识</w:t>
      </w:r>
      <w:r>
        <w:rPr>
          <w:spacing w:val="6"/>
        </w:rPr>
        <w:t>和对矿山环境恢复治理的重视程度，矿山生态环境得到有效改</w:t>
      </w:r>
      <w:r>
        <w:rPr>
          <w:spacing w:val="3"/>
        </w:rPr>
        <w:t xml:space="preserve">善。通过第三轮规划的实施，恢复治理矿山共计 </w:t>
      </w:r>
      <w:r>
        <w:rPr>
          <w:rFonts w:ascii="Times New Roman" w:eastAsia="Times New Roman"/>
        </w:rPr>
        <w:t>30</w:t>
      </w:r>
      <w:r>
        <w:rPr>
          <w:rFonts w:ascii="Times New Roman" w:eastAsia="Times New Roman"/>
          <w:spacing w:val="23"/>
        </w:rPr>
        <w:t xml:space="preserve"> </w:t>
      </w:r>
      <w:r>
        <w:t>个，其中闭</w:t>
      </w:r>
    </w:p>
    <w:p w14:paraId="622CA7AA">
      <w:pPr>
        <w:pStyle w:val="2"/>
        <w:spacing w:before="180"/>
        <w:ind w:left="460"/>
        <w:jc w:val="both"/>
        <w:rPr>
          <w:rFonts w:ascii="Times New Roman" w:eastAsia="Times New Roman"/>
        </w:rPr>
      </w:pPr>
      <w:r>
        <w:rPr>
          <w:spacing w:val="-19"/>
        </w:rPr>
        <w:t xml:space="preserve">坑矿山 </w:t>
      </w:r>
      <w:r>
        <w:rPr>
          <w:rFonts w:ascii="Times New Roman" w:eastAsia="Times New Roman"/>
        </w:rPr>
        <w:t>22</w:t>
      </w:r>
      <w:r>
        <w:rPr>
          <w:rFonts w:ascii="Times New Roman" w:eastAsia="Times New Roman"/>
          <w:spacing w:val="-2"/>
        </w:rPr>
        <w:t xml:space="preserve"> </w:t>
      </w:r>
      <w:r>
        <w:rPr>
          <w:spacing w:val="-23"/>
        </w:rPr>
        <w:t xml:space="preserve">个，历史遗留矿山 </w:t>
      </w:r>
      <w:r>
        <w:rPr>
          <w:rFonts w:ascii="Times New Roman" w:eastAsia="Times New Roman"/>
        </w:rPr>
        <w:t xml:space="preserve">8 </w:t>
      </w:r>
      <w:r>
        <w:rPr>
          <w:spacing w:val="-18"/>
        </w:rPr>
        <w:t xml:space="preserve">个。累计完成矿山修复面积 </w:t>
      </w:r>
      <w:r>
        <w:rPr>
          <w:rFonts w:ascii="Times New Roman" w:eastAsia="Times New Roman"/>
        </w:rPr>
        <w:t>229.80</w:t>
      </w:r>
    </w:p>
    <w:p w14:paraId="7EEFE94F">
      <w:pPr>
        <w:pStyle w:val="2"/>
        <w:spacing w:before="216"/>
        <w:ind w:left="460"/>
      </w:pPr>
      <w:r>
        <w:t>公顷。</w:t>
      </w:r>
    </w:p>
    <w:p w14:paraId="628AB897">
      <w:pPr>
        <w:pStyle w:val="2"/>
        <w:spacing w:before="35" w:line="600" w:lineRule="exact"/>
        <w:ind w:left="460" w:right="618" w:firstLine="600"/>
        <w:jc w:val="both"/>
      </w:pPr>
      <w:r>
        <w:rPr>
          <w:rFonts w:hint="eastAsia" w:ascii="Microsoft JhengHei" w:eastAsia="Microsoft JhengHei"/>
          <w:b/>
          <w:spacing w:val="-9"/>
        </w:rPr>
        <w:t>矿产资源管理体系不断完善。</w:t>
      </w:r>
      <w:r>
        <w:rPr>
          <w:spacing w:val="-2"/>
        </w:rPr>
        <w:t>通过建立规划实施目标责任考</w:t>
      </w:r>
      <w:r>
        <w:rPr>
          <w:spacing w:val="-11"/>
        </w:rPr>
        <w:t>核制度，分解落实了目标任务，明确责任分工；健全完善规划审</w:t>
      </w:r>
      <w:r>
        <w:rPr>
          <w:spacing w:val="-10"/>
        </w:rPr>
        <w:t>查制度，加强了规划实施情况监督检查工作，使矿产资源综合开</w:t>
      </w:r>
      <w:r>
        <w:t>发利用逐步走上规范化、制度化轨道。</w:t>
      </w:r>
    </w:p>
    <w:p w14:paraId="5647B22F">
      <w:pPr>
        <w:pStyle w:val="2"/>
        <w:spacing w:before="180"/>
        <w:ind w:left="1060"/>
        <w:rPr>
          <w:rFonts w:hint="eastAsia" w:ascii="黑体" w:eastAsia="黑体"/>
        </w:rPr>
      </w:pPr>
      <w:r>
        <w:rPr>
          <w:rFonts w:hint="eastAsia" w:ascii="黑体" w:eastAsia="黑体"/>
        </w:rPr>
        <w:t>四、矿产资源开发利用与保护现状</w:t>
      </w:r>
    </w:p>
    <w:p w14:paraId="516CDB3D">
      <w:pPr>
        <w:pStyle w:val="2"/>
        <w:spacing w:before="216"/>
        <w:ind w:left="1060"/>
      </w:pPr>
      <w:r>
        <w:t>（一）矿产资源开发利用现状</w:t>
      </w:r>
    </w:p>
    <w:p w14:paraId="7ECBED2D">
      <w:pPr>
        <w:pStyle w:val="2"/>
        <w:spacing w:before="216"/>
        <w:ind w:left="1060"/>
      </w:pPr>
      <w:r>
        <w:t xml:space="preserve">截止 </w:t>
      </w:r>
      <w:r>
        <w:rPr>
          <w:rFonts w:ascii="Times New Roman" w:eastAsia="Times New Roman"/>
        </w:rPr>
        <w:t xml:space="preserve">2020 </w:t>
      </w:r>
      <w:r>
        <w:t xml:space="preserve">年底，我市共有矿山 </w:t>
      </w:r>
      <w:r>
        <w:rPr>
          <w:rFonts w:ascii="Times New Roman" w:eastAsia="Times New Roman"/>
        </w:rPr>
        <w:t xml:space="preserve">3 </w:t>
      </w:r>
      <w:r>
        <w:t>家。按规模类型划分，中</w:t>
      </w:r>
    </w:p>
    <w:p w14:paraId="6B4FFE52">
      <w:pPr>
        <w:pStyle w:val="2"/>
        <w:spacing w:before="215"/>
        <w:ind w:left="460"/>
      </w:pPr>
      <w:r>
        <w:rPr>
          <w:spacing w:val="-20"/>
        </w:rPr>
        <w:t xml:space="preserve">型矿山 </w:t>
      </w:r>
      <w:r>
        <w:rPr>
          <w:rFonts w:ascii="Times New Roman" w:eastAsia="Times New Roman"/>
        </w:rPr>
        <w:t xml:space="preserve">1 </w:t>
      </w:r>
      <w:r>
        <w:rPr>
          <w:spacing w:val="-30"/>
        </w:rPr>
        <w:t xml:space="preserve">家、小型矿山 </w:t>
      </w:r>
      <w:r>
        <w:rPr>
          <w:rFonts w:ascii="Times New Roman" w:eastAsia="Times New Roman"/>
        </w:rPr>
        <w:t xml:space="preserve">2 </w:t>
      </w:r>
      <w:r>
        <w:rPr>
          <w:spacing w:val="-21"/>
        </w:rPr>
        <w:t xml:space="preserve">家，分别占矿山总数的 </w:t>
      </w:r>
      <w:r>
        <w:rPr>
          <w:rFonts w:ascii="Times New Roman" w:eastAsia="Times New Roman"/>
        </w:rPr>
        <w:t>33.33%</w:t>
      </w:r>
      <w:r>
        <w:rPr>
          <w:spacing w:val="-123"/>
        </w:rPr>
        <w:t>、</w:t>
      </w:r>
      <w:r>
        <w:rPr>
          <w:rFonts w:ascii="Times New Roman" w:eastAsia="Times New Roman"/>
        </w:rPr>
        <w:t>66.67%</w:t>
      </w:r>
      <w:r>
        <w:t>。</w:t>
      </w:r>
    </w:p>
    <w:p w14:paraId="02F82289">
      <w:pPr>
        <w:pStyle w:val="2"/>
        <w:spacing w:before="216"/>
        <w:ind w:left="460"/>
      </w:pPr>
      <w:r>
        <w:t xml:space="preserve">按矿种划分，陶粒页岩 </w:t>
      </w:r>
      <w:r>
        <w:rPr>
          <w:rFonts w:ascii="Times New Roman" w:eastAsia="Times New Roman"/>
        </w:rPr>
        <w:t xml:space="preserve">1 </w:t>
      </w:r>
      <w:r>
        <w:t xml:space="preserve">家、矿泉水 </w:t>
      </w:r>
      <w:r>
        <w:rPr>
          <w:rFonts w:ascii="Times New Roman" w:eastAsia="Times New Roman"/>
        </w:rPr>
        <w:t xml:space="preserve">2 </w:t>
      </w:r>
      <w:r>
        <w:t xml:space="preserve">家（专栏 </w:t>
      </w:r>
      <w:r>
        <w:rPr>
          <w:rFonts w:ascii="Times New Roman" w:eastAsia="Times New Roman"/>
        </w:rPr>
        <w:t>2</w:t>
      </w:r>
      <w:r>
        <w:t>）。</w:t>
      </w:r>
    </w:p>
    <w:p w14:paraId="67DB4C26">
      <w:pPr>
        <w:pStyle w:val="2"/>
        <w:spacing w:before="215"/>
        <w:ind w:left="1060"/>
      </w:pPr>
      <w:r>
        <w:rPr>
          <w:rFonts w:ascii="Times New Roman" w:eastAsia="Times New Roman"/>
        </w:rPr>
        <w:t xml:space="preserve">2020 </w:t>
      </w:r>
      <w:r>
        <w:t xml:space="preserve">年，我市矿山从业人数总计 </w:t>
      </w:r>
      <w:r>
        <w:rPr>
          <w:rFonts w:ascii="Times New Roman" w:eastAsia="Times New Roman"/>
        </w:rPr>
        <w:t xml:space="preserve">61 </w:t>
      </w:r>
      <w:r>
        <w:t xml:space="preserve">人，年产矿量 </w:t>
      </w:r>
      <w:r>
        <w:rPr>
          <w:rFonts w:ascii="Times New Roman" w:eastAsia="Times New Roman"/>
        </w:rPr>
        <w:t xml:space="preserve">0.38 </w:t>
      </w:r>
      <w:r>
        <w:t>万吨，</w:t>
      </w:r>
    </w:p>
    <w:p w14:paraId="74A7870D">
      <w:pPr>
        <w:pStyle w:val="2"/>
        <w:spacing w:before="216"/>
        <w:ind w:left="460"/>
      </w:pPr>
      <w:r>
        <w:t xml:space="preserve">矿业总产值 </w:t>
      </w:r>
      <w:r>
        <w:rPr>
          <w:rFonts w:ascii="Times New Roman" w:eastAsia="Times New Roman"/>
        </w:rPr>
        <w:t xml:space="preserve">119.00 </w:t>
      </w:r>
      <w:r>
        <w:t xml:space="preserve">万元，矿业利润总额 </w:t>
      </w:r>
      <w:r>
        <w:rPr>
          <w:rFonts w:ascii="Times New Roman" w:eastAsia="Times New Roman"/>
        </w:rPr>
        <w:t xml:space="preserve">21 </w:t>
      </w:r>
      <w:r>
        <w:t>万元。</w:t>
      </w:r>
    </w:p>
    <w:p w14:paraId="613D5831">
      <w:pPr>
        <w:pStyle w:val="2"/>
        <w:numPr>
          <w:ilvl w:val="0"/>
          <w:numId w:val="1"/>
        </w:numPr>
        <w:spacing w:before="216"/>
        <w:ind w:left="1060"/>
      </w:pPr>
      <w:r>
        <w:t>矿区生态保护修复和绿色矿山建设现状</w:t>
      </w:r>
    </w:p>
    <w:p w14:paraId="365D6366">
      <w:pPr>
        <w:pStyle w:val="2"/>
        <w:numPr>
          <w:ilvl w:val="0"/>
          <w:numId w:val="0"/>
        </w:numPr>
        <w:spacing w:before="216"/>
        <w:ind w:right="0"/>
      </w:pPr>
      <w:r>
        <w:rPr>
          <w:rFonts w:hint="eastAsia"/>
          <w:lang w:val="en-US" w:eastAsia="zh-CN"/>
        </w:rPr>
        <w:t xml:space="preserve">       </w:t>
      </w:r>
      <w:r>
        <w:t xml:space="preserve">截止 </w:t>
      </w:r>
      <w:r>
        <w:rPr>
          <w:rFonts w:ascii="Times New Roman" w:eastAsia="Times New Roman"/>
        </w:rPr>
        <w:t xml:space="preserve">2020 </w:t>
      </w:r>
      <w:r>
        <w:t xml:space="preserve">年底，共完成矿山修复面积 </w:t>
      </w:r>
      <w:r>
        <w:rPr>
          <w:rFonts w:ascii="Times New Roman" w:eastAsia="Times New Roman"/>
        </w:rPr>
        <w:t xml:space="preserve">507.82 </w:t>
      </w:r>
      <w:r>
        <w:t>公顷，其中闭</w:t>
      </w:r>
    </w:p>
    <w:p w14:paraId="73A61E4C">
      <w:pPr>
        <w:pStyle w:val="2"/>
        <w:spacing w:before="215"/>
        <w:ind w:left="460"/>
      </w:pPr>
      <w:r>
        <w:t xml:space="preserve">坑矿山 </w:t>
      </w:r>
      <w:r>
        <w:rPr>
          <w:rFonts w:ascii="Times New Roman" w:eastAsia="Times New Roman"/>
        </w:rPr>
        <w:t xml:space="preserve">410.26 </w:t>
      </w:r>
      <w:r>
        <w:t xml:space="preserve">公顷，历史遗留矿山 </w:t>
      </w:r>
      <w:r>
        <w:rPr>
          <w:rFonts w:ascii="Times New Roman" w:eastAsia="Times New Roman"/>
        </w:rPr>
        <w:t xml:space="preserve">97.56 </w:t>
      </w:r>
      <w:r>
        <w:t>公顷。</w:t>
      </w:r>
    </w:p>
    <w:p w14:paraId="3B04B620">
      <w:pPr>
        <w:pStyle w:val="2"/>
        <w:spacing w:before="216"/>
        <w:ind w:left="1060"/>
        <w:rPr>
          <w:rFonts w:ascii="Times New Roman" w:eastAsia="Times New Roman"/>
        </w:rPr>
      </w:pPr>
      <w:r>
        <w:t xml:space="preserve">现有三家矿山均末纳入全国绿色矿山名录监督管理，其中 </w:t>
      </w:r>
      <w:r>
        <w:rPr>
          <w:rFonts w:ascii="Times New Roman" w:eastAsia="Times New Roman"/>
        </w:rPr>
        <w:t>2</w:t>
      </w:r>
    </w:p>
    <w:p w14:paraId="27B90B68">
      <w:pPr>
        <w:pStyle w:val="2"/>
        <w:spacing w:before="216"/>
        <w:ind w:left="460"/>
      </w:pPr>
      <w:r>
        <w:t>家矿泉水企业正在推进绿色矿山建设。</w:t>
      </w:r>
    </w:p>
    <w:p w14:paraId="6B70417D">
      <w:pPr>
        <w:pStyle w:val="2"/>
        <w:spacing w:before="215"/>
        <w:ind w:left="1060"/>
        <w:rPr>
          <w:rFonts w:hint="eastAsia" w:ascii="黑体" w:eastAsia="黑体"/>
        </w:rPr>
      </w:pPr>
      <w:r>
        <w:rPr>
          <w:rFonts w:hint="eastAsia" w:ascii="黑体" w:eastAsia="黑体"/>
        </w:rPr>
        <w:t>五、矿产资源开发利用存在的主要问题</w:t>
      </w:r>
    </w:p>
    <w:p w14:paraId="7BCF79EF">
      <w:pPr>
        <w:pStyle w:val="2"/>
        <w:spacing w:before="216" w:line="374" w:lineRule="auto"/>
        <w:ind w:left="460" w:right="618" w:firstLine="600"/>
      </w:pPr>
      <w:r>
        <w:rPr>
          <w:spacing w:val="-7"/>
        </w:rPr>
        <w:t>我市属矿产资源匮乏地区，矿业发展空间十分有限，经济发</w:t>
      </w:r>
      <w:r>
        <w:t>展所需重要矿产资源全部需要外购。</w:t>
      </w:r>
    </w:p>
    <w:p w14:paraId="538FAA77">
      <w:pPr>
        <w:pStyle w:val="2"/>
        <w:spacing w:before="1" w:line="374" w:lineRule="auto"/>
        <w:ind w:left="460" w:right="618" w:firstLine="600"/>
        <w:jc w:val="both"/>
      </w:pPr>
      <w:r>
        <w:rPr>
          <w:spacing w:val="-6"/>
        </w:rPr>
        <w:t>矿泉水矿产虽有良好成矿条件和开发利用前景，但潜在价值</w:t>
      </w:r>
      <w:r>
        <w:rPr>
          <w:spacing w:val="-11"/>
        </w:rPr>
        <w:t xml:space="preserve">优势尚未完全发挥，目前仅有 </w:t>
      </w:r>
      <w:r>
        <w:rPr>
          <w:rFonts w:ascii="Times New Roman" w:eastAsia="Times New Roman"/>
        </w:rPr>
        <w:t xml:space="preserve">2 </w:t>
      </w:r>
      <w:r>
        <w:rPr>
          <w:spacing w:val="-5"/>
        </w:rPr>
        <w:t>处小型矿泉水矿山进行开采，产</w:t>
      </w:r>
      <w:r>
        <w:t>品的附加值较低，矿业高质量发展有待加强。</w:t>
      </w:r>
    </w:p>
    <w:p w14:paraId="0A631A18">
      <w:pPr>
        <w:pStyle w:val="2"/>
        <w:spacing w:before="1" w:line="374" w:lineRule="auto"/>
        <w:ind w:left="460" w:right="618" w:firstLine="600"/>
        <w:jc w:val="both"/>
      </w:pPr>
      <w:r>
        <w:rPr>
          <w:spacing w:val="-10"/>
        </w:rPr>
        <w:t>矿业绿色发展任务艰巨，绿色发展理念还未真正成为全社会的普遍价值追求，还没有建成绿色矿山，矿区生态保护修复任务</w:t>
      </w:r>
      <w:r>
        <w:t>依然较重。</w:t>
      </w:r>
    </w:p>
    <w:p w14:paraId="08914FAE">
      <w:pPr>
        <w:spacing w:after="0" w:line="374" w:lineRule="auto"/>
        <w:jc w:val="both"/>
        <w:sectPr>
          <w:pgSz w:w="11910" w:h="16840"/>
          <w:pgMar w:top="1560" w:right="1180" w:bottom="1120" w:left="1340" w:header="0" w:footer="934" w:gutter="0"/>
          <w:cols w:space="720" w:num="1"/>
        </w:sectPr>
      </w:pPr>
    </w:p>
    <w:p w14:paraId="3EED9A01">
      <w:pPr>
        <w:pStyle w:val="2"/>
        <w:rPr>
          <w:sz w:val="20"/>
        </w:rPr>
      </w:pPr>
    </w:p>
    <w:p w14:paraId="7164827C">
      <w:pPr>
        <w:pStyle w:val="2"/>
        <w:rPr>
          <w:sz w:val="20"/>
        </w:rPr>
      </w:pPr>
    </w:p>
    <w:p w14:paraId="08AA3C12">
      <w:pPr>
        <w:pStyle w:val="2"/>
        <w:spacing w:before="1"/>
        <w:rPr>
          <w:sz w:val="14"/>
        </w:rPr>
      </w:pPr>
    </w:p>
    <w:tbl>
      <w:tblPr>
        <w:tblStyle w:val="3"/>
        <w:tblW w:w="13081"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7"/>
        <w:gridCol w:w="578"/>
        <w:gridCol w:w="569"/>
        <w:gridCol w:w="503"/>
        <w:gridCol w:w="536"/>
        <w:gridCol w:w="548"/>
        <w:gridCol w:w="972"/>
        <w:gridCol w:w="1151"/>
        <w:gridCol w:w="1406"/>
        <w:gridCol w:w="1339"/>
        <w:gridCol w:w="1417"/>
        <w:gridCol w:w="1335"/>
        <w:gridCol w:w="1330"/>
      </w:tblGrid>
      <w:tr w14:paraId="01DB0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3081" w:type="dxa"/>
            <w:gridSpan w:val="13"/>
            <w:shd w:val="clear" w:color="auto" w:fill="99CCFF"/>
            <w:vAlign w:val="top"/>
          </w:tcPr>
          <w:p w14:paraId="2A81B1B5">
            <w:pPr>
              <w:pStyle w:val="11"/>
              <w:tabs>
                <w:tab w:val="left" w:pos="1042"/>
              </w:tabs>
              <w:spacing w:before="53"/>
              <w:ind w:left="22"/>
              <w:rPr>
                <w:sz w:val="24"/>
              </w:rPr>
            </w:pPr>
            <w:r>
              <w:rPr>
                <w:sz w:val="24"/>
              </w:rPr>
              <w:t>专栏</w:t>
            </w:r>
            <w:r>
              <w:rPr>
                <w:spacing w:val="-60"/>
                <w:sz w:val="24"/>
              </w:rPr>
              <w:t xml:space="preserve"> </w:t>
            </w:r>
            <w:r>
              <w:rPr>
                <w:rFonts w:ascii="Times New Roman" w:eastAsia="Times New Roman"/>
                <w:sz w:val="24"/>
              </w:rPr>
              <w:t>2</w:t>
            </w:r>
            <w:r>
              <w:rPr>
                <w:rFonts w:ascii="Times New Roman" w:eastAsia="Times New Roman"/>
                <w:sz w:val="24"/>
              </w:rPr>
              <w:tab/>
            </w:r>
            <w:r>
              <w:rPr>
                <w:rFonts w:ascii="Times New Roman" w:eastAsia="Times New Roman"/>
                <w:sz w:val="24"/>
              </w:rPr>
              <w:t xml:space="preserve">2020 </w:t>
            </w:r>
            <w:r>
              <w:rPr>
                <w:sz w:val="24"/>
              </w:rPr>
              <w:t>年底德惠市矿产资源开发利用情况（按矿种分列）</w:t>
            </w:r>
          </w:p>
        </w:tc>
      </w:tr>
      <w:tr w14:paraId="08F5F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397" w:type="dxa"/>
            <w:vMerge w:val="restart"/>
            <w:shd w:val="clear" w:color="auto" w:fill="CCFFFF"/>
            <w:vAlign w:val="top"/>
          </w:tcPr>
          <w:p w14:paraId="5F8217AD">
            <w:pPr>
              <w:pStyle w:val="11"/>
              <w:jc w:val="left"/>
              <w:rPr>
                <w:sz w:val="21"/>
              </w:rPr>
            </w:pPr>
          </w:p>
          <w:p w14:paraId="359ACCA7">
            <w:pPr>
              <w:pStyle w:val="11"/>
              <w:ind w:left="254" w:right="250"/>
              <w:rPr>
                <w:sz w:val="21"/>
              </w:rPr>
            </w:pPr>
            <w:r>
              <w:rPr>
                <w:sz w:val="21"/>
              </w:rPr>
              <w:t>矿种</w:t>
            </w:r>
          </w:p>
        </w:tc>
        <w:tc>
          <w:tcPr>
            <w:tcW w:w="2734" w:type="dxa"/>
            <w:gridSpan w:val="5"/>
            <w:shd w:val="clear" w:color="auto" w:fill="CCFFFF"/>
            <w:vAlign w:val="top"/>
          </w:tcPr>
          <w:p w14:paraId="3DECF940">
            <w:pPr>
              <w:pStyle w:val="11"/>
              <w:spacing w:before="36"/>
              <w:ind w:left="841"/>
              <w:jc w:val="left"/>
              <w:rPr>
                <w:sz w:val="21"/>
              </w:rPr>
            </w:pPr>
            <w:r>
              <w:rPr>
                <w:sz w:val="21"/>
              </w:rPr>
              <w:t>矿山企业数</w:t>
            </w:r>
          </w:p>
        </w:tc>
        <w:tc>
          <w:tcPr>
            <w:tcW w:w="972" w:type="dxa"/>
            <w:vMerge w:val="restart"/>
            <w:shd w:val="clear" w:color="auto" w:fill="CCFFFF"/>
            <w:vAlign w:val="top"/>
          </w:tcPr>
          <w:p w14:paraId="638F08E0">
            <w:pPr>
              <w:pStyle w:val="11"/>
              <w:spacing w:before="132"/>
              <w:ind w:left="66"/>
              <w:jc w:val="left"/>
              <w:rPr>
                <w:sz w:val="21"/>
              </w:rPr>
            </w:pPr>
            <w:r>
              <w:rPr>
                <w:sz w:val="21"/>
              </w:rPr>
              <w:t>从业人员</w:t>
            </w:r>
          </w:p>
          <w:p w14:paraId="3EF1184F">
            <w:pPr>
              <w:pStyle w:val="11"/>
              <w:spacing w:before="3"/>
              <w:ind w:left="169"/>
              <w:jc w:val="left"/>
              <w:rPr>
                <w:sz w:val="21"/>
              </w:rPr>
            </w:pPr>
            <w:r>
              <w:rPr>
                <w:sz w:val="21"/>
              </w:rPr>
              <w:t>（个）</w:t>
            </w:r>
          </w:p>
        </w:tc>
        <w:tc>
          <w:tcPr>
            <w:tcW w:w="1151" w:type="dxa"/>
            <w:vMerge w:val="restart"/>
            <w:shd w:val="clear" w:color="auto" w:fill="CCFFFF"/>
            <w:vAlign w:val="top"/>
          </w:tcPr>
          <w:p w14:paraId="10235F11">
            <w:pPr>
              <w:pStyle w:val="11"/>
              <w:spacing w:before="132"/>
              <w:ind w:left="155"/>
              <w:jc w:val="left"/>
              <w:rPr>
                <w:sz w:val="21"/>
              </w:rPr>
            </w:pPr>
            <w:r>
              <w:rPr>
                <w:w w:val="95"/>
                <w:sz w:val="21"/>
              </w:rPr>
              <w:t>矿石产量</w:t>
            </w:r>
          </w:p>
          <w:p w14:paraId="5A9882CD">
            <w:pPr>
              <w:pStyle w:val="11"/>
              <w:spacing w:before="3"/>
              <w:ind w:left="155"/>
              <w:jc w:val="left"/>
              <w:rPr>
                <w:sz w:val="21"/>
              </w:rPr>
            </w:pPr>
            <w:r>
              <w:rPr>
                <w:w w:val="95"/>
                <w:sz w:val="21"/>
              </w:rPr>
              <w:t>（万吨）</w:t>
            </w:r>
          </w:p>
        </w:tc>
        <w:tc>
          <w:tcPr>
            <w:tcW w:w="1406" w:type="dxa"/>
            <w:vMerge w:val="restart"/>
            <w:shd w:val="clear" w:color="auto" w:fill="CCFFFF"/>
            <w:vAlign w:val="top"/>
          </w:tcPr>
          <w:p w14:paraId="615AD53B">
            <w:pPr>
              <w:pStyle w:val="11"/>
              <w:spacing w:before="132"/>
              <w:ind w:left="157" w:right="149"/>
              <w:rPr>
                <w:sz w:val="21"/>
              </w:rPr>
            </w:pPr>
            <w:r>
              <w:rPr>
                <w:sz w:val="21"/>
              </w:rPr>
              <w:t>工业总产值</w:t>
            </w:r>
          </w:p>
          <w:p w14:paraId="3EDAE63D">
            <w:pPr>
              <w:pStyle w:val="11"/>
              <w:spacing w:before="3"/>
              <w:ind w:left="157" w:right="149"/>
              <w:rPr>
                <w:sz w:val="21"/>
              </w:rPr>
            </w:pPr>
            <w:r>
              <w:rPr>
                <w:sz w:val="21"/>
              </w:rPr>
              <w:t>（万元）</w:t>
            </w:r>
          </w:p>
        </w:tc>
        <w:tc>
          <w:tcPr>
            <w:tcW w:w="1339" w:type="dxa"/>
            <w:vMerge w:val="restart"/>
            <w:shd w:val="clear" w:color="auto" w:fill="CCFFFF"/>
            <w:vAlign w:val="top"/>
          </w:tcPr>
          <w:p w14:paraId="6610FDA3">
            <w:pPr>
              <w:pStyle w:val="11"/>
              <w:spacing w:before="132" w:line="242" w:lineRule="auto"/>
              <w:ind w:left="38" w:right="30" w:firstLine="208"/>
              <w:jc w:val="left"/>
              <w:rPr>
                <w:sz w:val="21"/>
              </w:rPr>
            </w:pPr>
            <w:r>
              <w:rPr>
                <w:sz w:val="21"/>
              </w:rPr>
              <w:t>综合利用 产值（万元</w:t>
            </w:r>
            <w:r>
              <w:rPr>
                <w:spacing w:val="-14"/>
                <w:sz w:val="21"/>
              </w:rPr>
              <w:t>）</w:t>
            </w:r>
          </w:p>
        </w:tc>
        <w:tc>
          <w:tcPr>
            <w:tcW w:w="1417" w:type="dxa"/>
            <w:vMerge w:val="restart"/>
            <w:shd w:val="clear" w:color="auto" w:fill="CCFFFF"/>
            <w:vAlign w:val="top"/>
          </w:tcPr>
          <w:p w14:paraId="52B05591">
            <w:pPr>
              <w:pStyle w:val="11"/>
              <w:spacing w:before="132" w:line="242" w:lineRule="auto"/>
              <w:ind w:left="77" w:right="69" w:firstLine="105"/>
              <w:jc w:val="left"/>
              <w:rPr>
                <w:sz w:val="21"/>
              </w:rPr>
            </w:pPr>
            <w:r>
              <w:rPr>
                <w:sz w:val="21"/>
              </w:rPr>
              <w:t>矿产品销售收入（万元）</w:t>
            </w:r>
          </w:p>
        </w:tc>
        <w:tc>
          <w:tcPr>
            <w:tcW w:w="1335" w:type="dxa"/>
            <w:vMerge w:val="restart"/>
            <w:shd w:val="clear" w:color="auto" w:fill="CCFFFF"/>
            <w:vAlign w:val="top"/>
          </w:tcPr>
          <w:p w14:paraId="59203DE6">
            <w:pPr>
              <w:pStyle w:val="11"/>
              <w:spacing w:before="132"/>
              <w:ind w:left="246"/>
              <w:jc w:val="left"/>
              <w:rPr>
                <w:sz w:val="21"/>
              </w:rPr>
            </w:pPr>
            <w:r>
              <w:rPr>
                <w:w w:val="95"/>
                <w:sz w:val="21"/>
              </w:rPr>
              <w:t>利润总额</w:t>
            </w:r>
          </w:p>
          <w:p w14:paraId="656E6A67">
            <w:pPr>
              <w:pStyle w:val="11"/>
              <w:spacing w:before="3"/>
              <w:ind w:left="246"/>
              <w:jc w:val="left"/>
              <w:rPr>
                <w:sz w:val="21"/>
              </w:rPr>
            </w:pPr>
            <w:r>
              <w:rPr>
                <w:w w:val="95"/>
                <w:sz w:val="21"/>
              </w:rPr>
              <w:t>（万元）</w:t>
            </w:r>
          </w:p>
        </w:tc>
        <w:tc>
          <w:tcPr>
            <w:tcW w:w="1330" w:type="dxa"/>
            <w:vMerge w:val="restart"/>
            <w:shd w:val="clear" w:color="auto" w:fill="CCFFFF"/>
            <w:vAlign w:val="top"/>
          </w:tcPr>
          <w:p w14:paraId="0DFAE2C2">
            <w:pPr>
              <w:pStyle w:val="11"/>
              <w:spacing w:before="132"/>
              <w:ind w:left="35"/>
              <w:jc w:val="left"/>
              <w:rPr>
                <w:sz w:val="21"/>
              </w:rPr>
            </w:pPr>
            <w:r>
              <w:rPr>
                <w:sz w:val="21"/>
              </w:rPr>
              <w:t>设计采矿能力</w:t>
            </w:r>
          </w:p>
          <w:p w14:paraId="7C2DD5B8">
            <w:pPr>
              <w:pStyle w:val="11"/>
              <w:spacing w:before="3"/>
              <w:ind w:left="109"/>
              <w:jc w:val="left"/>
              <w:rPr>
                <w:sz w:val="21"/>
              </w:rPr>
            </w:pPr>
            <w:r>
              <w:rPr>
                <w:sz w:val="21"/>
              </w:rPr>
              <w:t>（万吨</w:t>
            </w:r>
            <w:r>
              <w:rPr>
                <w:rFonts w:ascii="Times New Roman" w:eastAsia="Times New Roman"/>
                <w:sz w:val="21"/>
              </w:rPr>
              <w:t>/</w:t>
            </w:r>
            <w:r>
              <w:rPr>
                <w:sz w:val="21"/>
              </w:rPr>
              <w:t>年）</w:t>
            </w:r>
          </w:p>
        </w:tc>
      </w:tr>
      <w:tr w14:paraId="5F9C0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1397" w:type="dxa"/>
            <w:vMerge w:val="continue"/>
            <w:tcBorders>
              <w:top w:val="nil"/>
            </w:tcBorders>
            <w:shd w:val="clear" w:color="auto" w:fill="CCFFFF"/>
            <w:vAlign w:val="top"/>
          </w:tcPr>
          <w:p w14:paraId="7F1D5919">
            <w:pPr>
              <w:rPr>
                <w:sz w:val="2"/>
                <w:szCs w:val="2"/>
              </w:rPr>
            </w:pPr>
          </w:p>
        </w:tc>
        <w:tc>
          <w:tcPr>
            <w:tcW w:w="578" w:type="dxa"/>
            <w:shd w:val="clear" w:color="auto" w:fill="CCFFFF"/>
            <w:vAlign w:val="top"/>
          </w:tcPr>
          <w:p w14:paraId="3BE763D8">
            <w:pPr>
              <w:pStyle w:val="11"/>
              <w:spacing w:before="94"/>
              <w:ind w:left="57" w:right="50"/>
              <w:rPr>
                <w:sz w:val="21"/>
              </w:rPr>
            </w:pPr>
            <w:r>
              <w:rPr>
                <w:sz w:val="21"/>
              </w:rPr>
              <w:t>合计</w:t>
            </w:r>
          </w:p>
        </w:tc>
        <w:tc>
          <w:tcPr>
            <w:tcW w:w="569" w:type="dxa"/>
            <w:shd w:val="clear" w:color="auto" w:fill="CCFFFF"/>
            <w:vAlign w:val="top"/>
          </w:tcPr>
          <w:p w14:paraId="60F405D5">
            <w:pPr>
              <w:pStyle w:val="11"/>
              <w:spacing w:before="94"/>
              <w:ind w:left="74"/>
              <w:jc w:val="left"/>
              <w:rPr>
                <w:sz w:val="21"/>
              </w:rPr>
            </w:pPr>
            <w:r>
              <w:rPr>
                <w:sz w:val="21"/>
              </w:rPr>
              <w:t>大型</w:t>
            </w:r>
          </w:p>
        </w:tc>
        <w:tc>
          <w:tcPr>
            <w:tcW w:w="503" w:type="dxa"/>
            <w:shd w:val="clear" w:color="auto" w:fill="CCFFFF"/>
            <w:vAlign w:val="top"/>
          </w:tcPr>
          <w:p w14:paraId="19CE87C9">
            <w:pPr>
              <w:pStyle w:val="11"/>
              <w:spacing w:before="94"/>
              <w:ind w:left="19" w:right="14"/>
              <w:rPr>
                <w:sz w:val="21"/>
              </w:rPr>
            </w:pPr>
            <w:r>
              <w:rPr>
                <w:sz w:val="21"/>
              </w:rPr>
              <w:t>中型</w:t>
            </w:r>
          </w:p>
        </w:tc>
        <w:tc>
          <w:tcPr>
            <w:tcW w:w="536" w:type="dxa"/>
            <w:shd w:val="clear" w:color="auto" w:fill="CCFFFF"/>
            <w:vAlign w:val="top"/>
          </w:tcPr>
          <w:p w14:paraId="41C06065">
            <w:pPr>
              <w:pStyle w:val="11"/>
              <w:spacing w:before="94"/>
              <w:ind w:left="37" w:right="29"/>
              <w:rPr>
                <w:sz w:val="21"/>
              </w:rPr>
            </w:pPr>
            <w:r>
              <w:rPr>
                <w:sz w:val="21"/>
              </w:rPr>
              <w:t>小型</w:t>
            </w:r>
          </w:p>
        </w:tc>
        <w:tc>
          <w:tcPr>
            <w:tcW w:w="548" w:type="dxa"/>
            <w:shd w:val="clear" w:color="auto" w:fill="CCFFFF"/>
            <w:vAlign w:val="top"/>
          </w:tcPr>
          <w:p w14:paraId="5A829B60">
            <w:pPr>
              <w:pStyle w:val="11"/>
              <w:spacing w:before="94"/>
              <w:ind w:left="64"/>
              <w:jc w:val="left"/>
              <w:rPr>
                <w:sz w:val="21"/>
              </w:rPr>
            </w:pPr>
            <w:r>
              <w:rPr>
                <w:sz w:val="21"/>
              </w:rPr>
              <w:t>小矿</w:t>
            </w:r>
          </w:p>
        </w:tc>
        <w:tc>
          <w:tcPr>
            <w:tcW w:w="972" w:type="dxa"/>
            <w:vMerge w:val="continue"/>
            <w:tcBorders>
              <w:top w:val="nil"/>
            </w:tcBorders>
            <w:shd w:val="clear" w:color="auto" w:fill="CCFFFF"/>
            <w:vAlign w:val="top"/>
          </w:tcPr>
          <w:p w14:paraId="320267E7">
            <w:pPr>
              <w:rPr>
                <w:sz w:val="2"/>
                <w:szCs w:val="2"/>
              </w:rPr>
            </w:pPr>
          </w:p>
        </w:tc>
        <w:tc>
          <w:tcPr>
            <w:tcW w:w="1151" w:type="dxa"/>
            <w:vMerge w:val="continue"/>
            <w:tcBorders>
              <w:top w:val="nil"/>
            </w:tcBorders>
            <w:shd w:val="clear" w:color="auto" w:fill="CCFFFF"/>
            <w:vAlign w:val="top"/>
          </w:tcPr>
          <w:p w14:paraId="358397C5">
            <w:pPr>
              <w:rPr>
                <w:sz w:val="2"/>
                <w:szCs w:val="2"/>
              </w:rPr>
            </w:pPr>
          </w:p>
        </w:tc>
        <w:tc>
          <w:tcPr>
            <w:tcW w:w="1406" w:type="dxa"/>
            <w:vMerge w:val="continue"/>
            <w:tcBorders>
              <w:top w:val="nil"/>
            </w:tcBorders>
            <w:shd w:val="clear" w:color="auto" w:fill="CCFFFF"/>
            <w:vAlign w:val="top"/>
          </w:tcPr>
          <w:p w14:paraId="6032F122">
            <w:pPr>
              <w:rPr>
                <w:sz w:val="2"/>
                <w:szCs w:val="2"/>
              </w:rPr>
            </w:pPr>
          </w:p>
        </w:tc>
        <w:tc>
          <w:tcPr>
            <w:tcW w:w="1339" w:type="dxa"/>
            <w:vMerge w:val="continue"/>
            <w:tcBorders>
              <w:top w:val="nil"/>
            </w:tcBorders>
            <w:shd w:val="clear" w:color="auto" w:fill="CCFFFF"/>
            <w:vAlign w:val="top"/>
          </w:tcPr>
          <w:p w14:paraId="099823B3">
            <w:pPr>
              <w:rPr>
                <w:sz w:val="2"/>
                <w:szCs w:val="2"/>
              </w:rPr>
            </w:pPr>
          </w:p>
        </w:tc>
        <w:tc>
          <w:tcPr>
            <w:tcW w:w="1417" w:type="dxa"/>
            <w:vMerge w:val="continue"/>
            <w:tcBorders>
              <w:top w:val="nil"/>
            </w:tcBorders>
            <w:shd w:val="clear" w:color="auto" w:fill="CCFFFF"/>
            <w:vAlign w:val="top"/>
          </w:tcPr>
          <w:p w14:paraId="332DBC09">
            <w:pPr>
              <w:rPr>
                <w:sz w:val="2"/>
                <w:szCs w:val="2"/>
              </w:rPr>
            </w:pPr>
          </w:p>
        </w:tc>
        <w:tc>
          <w:tcPr>
            <w:tcW w:w="1335" w:type="dxa"/>
            <w:vMerge w:val="continue"/>
            <w:tcBorders>
              <w:top w:val="nil"/>
            </w:tcBorders>
            <w:shd w:val="clear" w:color="auto" w:fill="CCFFFF"/>
            <w:vAlign w:val="top"/>
          </w:tcPr>
          <w:p w14:paraId="38E7A994">
            <w:pPr>
              <w:rPr>
                <w:sz w:val="2"/>
                <w:szCs w:val="2"/>
              </w:rPr>
            </w:pPr>
          </w:p>
        </w:tc>
        <w:tc>
          <w:tcPr>
            <w:tcW w:w="1330" w:type="dxa"/>
            <w:vMerge w:val="continue"/>
            <w:tcBorders>
              <w:top w:val="nil"/>
            </w:tcBorders>
            <w:shd w:val="clear" w:color="auto" w:fill="CCFFFF"/>
            <w:vAlign w:val="top"/>
          </w:tcPr>
          <w:p w14:paraId="634A0134">
            <w:pPr>
              <w:rPr>
                <w:sz w:val="2"/>
                <w:szCs w:val="2"/>
              </w:rPr>
            </w:pPr>
          </w:p>
        </w:tc>
      </w:tr>
      <w:tr w14:paraId="61232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397" w:type="dxa"/>
            <w:shd w:val="clear" w:color="auto" w:fill="CCFFFF"/>
            <w:vAlign w:val="top"/>
          </w:tcPr>
          <w:p w14:paraId="088ED059">
            <w:pPr>
              <w:pStyle w:val="11"/>
              <w:spacing w:before="35"/>
              <w:ind w:left="254" w:right="250"/>
              <w:rPr>
                <w:sz w:val="21"/>
              </w:rPr>
            </w:pPr>
            <w:r>
              <w:rPr>
                <w:sz w:val="21"/>
              </w:rPr>
              <w:t>总计</w:t>
            </w:r>
          </w:p>
        </w:tc>
        <w:tc>
          <w:tcPr>
            <w:tcW w:w="578" w:type="dxa"/>
            <w:shd w:val="clear" w:color="auto" w:fill="CCFFFF"/>
            <w:vAlign w:val="top"/>
          </w:tcPr>
          <w:p w14:paraId="12693F2C">
            <w:pPr>
              <w:pStyle w:val="11"/>
              <w:spacing w:before="49"/>
              <w:ind w:left="6"/>
              <w:rPr>
                <w:rFonts w:ascii="Times New Roman"/>
                <w:sz w:val="21"/>
              </w:rPr>
            </w:pPr>
            <w:r>
              <w:rPr>
                <w:rFonts w:ascii="Times New Roman"/>
                <w:w w:val="99"/>
                <w:sz w:val="21"/>
              </w:rPr>
              <w:t>3</w:t>
            </w:r>
          </w:p>
        </w:tc>
        <w:tc>
          <w:tcPr>
            <w:tcW w:w="569" w:type="dxa"/>
            <w:shd w:val="clear" w:color="auto" w:fill="CCFFFF"/>
            <w:vAlign w:val="top"/>
          </w:tcPr>
          <w:p w14:paraId="64DBA16E">
            <w:pPr>
              <w:pStyle w:val="11"/>
              <w:jc w:val="left"/>
              <w:rPr>
                <w:rFonts w:ascii="Times New Roman"/>
                <w:sz w:val="20"/>
              </w:rPr>
            </w:pPr>
          </w:p>
        </w:tc>
        <w:tc>
          <w:tcPr>
            <w:tcW w:w="503" w:type="dxa"/>
            <w:shd w:val="clear" w:color="auto" w:fill="CCFFFF"/>
            <w:vAlign w:val="top"/>
          </w:tcPr>
          <w:p w14:paraId="47F9C4B0">
            <w:pPr>
              <w:pStyle w:val="11"/>
              <w:spacing w:before="49"/>
              <w:ind w:left="9"/>
              <w:rPr>
                <w:rFonts w:ascii="Times New Roman"/>
                <w:sz w:val="21"/>
              </w:rPr>
            </w:pPr>
            <w:r>
              <w:rPr>
                <w:rFonts w:ascii="Times New Roman"/>
                <w:w w:val="99"/>
                <w:sz w:val="21"/>
              </w:rPr>
              <w:t>1</w:t>
            </w:r>
          </w:p>
        </w:tc>
        <w:tc>
          <w:tcPr>
            <w:tcW w:w="536" w:type="dxa"/>
            <w:shd w:val="clear" w:color="auto" w:fill="CCFFFF"/>
            <w:vAlign w:val="top"/>
          </w:tcPr>
          <w:p w14:paraId="0812346F">
            <w:pPr>
              <w:pStyle w:val="11"/>
              <w:spacing w:before="49"/>
              <w:ind w:left="7"/>
              <w:rPr>
                <w:rFonts w:ascii="Times New Roman"/>
                <w:sz w:val="21"/>
              </w:rPr>
            </w:pPr>
            <w:r>
              <w:rPr>
                <w:rFonts w:ascii="Times New Roman"/>
                <w:w w:val="99"/>
                <w:sz w:val="21"/>
              </w:rPr>
              <w:t>0</w:t>
            </w:r>
          </w:p>
        </w:tc>
        <w:tc>
          <w:tcPr>
            <w:tcW w:w="548" w:type="dxa"/>
            <w:shd w:val="clear" w:color="auto" w:fill="CCFFFF"/>
            <w:vAlign w:val="top"/>
          </w:tcPr>
          <w:p w14:paraId="268E8E75">
            <w:pPr>
              <w:pStyle w:val="11"/>
              <w:jc w:val="left"/>
              <w:rPr>
                <w:rFonts w:ascii="Times New Roman"/>
                <w:sz w:val="20"/>
              </w:rPr>
            </w:pPr>
          </w:p>
        </w:tc>
        <w:tc>
          <w:tcPr>
            <w:tcW w:w="972" w:type="dxa"/>
            <w:shd w:val="clear" w:color="auto" w:fill="CCFFFF"/>
            <w:vAlign w:val="top"/>
          </w:tcPr>
          <w:p w14:paraId="129AC721">
            <w:pPr>
              <w:pStyle w:val="11"/>
              <w:spacing w:before="49"/>
              <w:ind w:left="360" w:right="351"/>
              <w:rPr>
                <w:rFonts w:ascii="Times New Roman"/>
                <w:sz w:val="21"/>
              </w:rPr>
            </w:pPr>
            <w:r>
              <w:rPr>
                <w:rFonts w:ascii="Times New Roman"/>
                <w:sz w:val="21"/>
              </w:rPr>
              <w:t>61</w:t>
            </w:r>
          </w:p>
        </w:tc>
        <w:tc>
          <w:tcPr>
            <w:tcW w:w="1151" w:type="dxa"/>
            <w:shd w:val="clear" w:color="auto" w:fill="CCFFFF"/>
            <w:vAlign w:val="top"/>
          </w:tcPr>
          <w:p w14:paraId="42249683">
            <w:pPr>
              <w:pStyle w:val="11"/>
              <w:spacing w:before="49"/>
              <w:ind w:left="390"/>
              <w:jc w:val="left"/>
              <w:rPr>
                <w:rFonts w:ascii="Times New Roman"/>
                <w:sz w:val="21"/>
              </w:rPr>
            </w:pPr>
            <w:r>
              <w:rPr>
                <w:rFonts w:ascii="Times New Roman"/>
                <w:sz w:val="21"/>
              </w:rPr>
              <w:t>0.38</w:t>
            </w:r>
          </w:p>
        </w:tc>
        <w:tc>
          <w:tcPr>
            <w:tcW w:w="1406" w:type="dxa"/>
            <w:shd w:val="clear" w:color="auto" w:fill="CCFFFF"/>
            <w:vAlign w:val="top"/>
          </w:tcPr>
          <w:p w14:paraId="210E8AE7">
            <w:pPr>
              <w:pStyle w:val="11"/>
              <w:spacing w:before="49"/>
              <w:ind w:left="157" w:right="148"/>
              <w:rPr>
                <w:rFonts w:ascii="Times New Roman"/>
                <w:sz w:val="21"/>
              </w:rPr>
            </w:pPr>
            <w:r>
              <w:rPr>
                <w:rFonts w:ascii="Times New Roman"/>
                <w:sz w:val="21"/>
              </w:rPr>
              <w:t>119.00</w:t>
            </w:r>
          </w:p>
        </w:tc>
        <w:tc>
          <w:tcPr>
            <w:tcW w:w="1339" w:type="dxa"/>
            <w:shd w:val="clear" w:color="auto" w:fill="CCFFFF"/>
            <w:vAlign w:val="top"/>
          </w:tcPr>
          <w:p w14:paraId="16FCF04E">
            <w:pPr>
              <w:pStyle w:val="11"/>
              <w:spacing w:before="49"/>
              <w:ind w:left="359" w:right="352"/>
              <w:rPr>
                <w:rFonts w:ascii="Times New Roman"/>
                <w:sz w:val="21"/>
              </w:rPr>
            </w:pPr>
            <w:r>
              <w:rPr>
                <w:rFonts w:ascii="Times New Roman"/>
                <w:sz w:val="21"/>
              </w:rPr>
              <w:t>101.00</w:t>
            </w:r>
          </w:p>
        </w:tc>
        <w:tc>
          <w:tcPr>
            <w:tcW w:w="1417" w:type="dxa"/>
            <w:shd w:val="clear" w:color="auto" w:fill="CCFFFF"/>
            <w:vAlign w:val="top"/>
          </w:tcPr>
          <w:p w14:paraId="4DC34E94">
            <w:pPr>
              <w:pStyle w:val="11"/>
              <w:spacing w:before="49"/>
              <w:ind w:left="451" w:right="442"/>
              <w:rPr>
                <w:rFonts w:ascii="Times New Roman"/>
                <w:sz w:val="21"/>
              </w:rPr>
            </w:pPr>
            <w:r>
              <w:rPr>
                <w:rFonts w:ascii="Times New Roman"/>
                <w:sz w:val="21"/>
              </w:rPr>
              <w:t>37.00</w:t>
            </w:r>
          </w:p>
        </w:tc>
        <w:tc>
          <w:tcPr>
            <w:tcW w:w="1335" w:type="dxa"/>
            <w:shd w:val="clear" w:color="auto" w:fill="CCFFFF"/>
            <w:vAlign w:val="top"/>
          </w:tcPr>
          <w:p w14:paraId="20CCC813">
            <w:pPr>
              <w:pStyle w:val="11"/>
              <w:spacing w:before="49"/>
              <w:ind w:left="411" w:right="401"/>
              <w:rPr>
                <w:rFonts w:ascii="Times New Roman"/>
                <w:sz w:val="21"/>
              </w:rPr>
            </w:pPr>
            <w:r>
              <w:rPr>
                <w:rFonts w:ascii="Times New Roman"/>
                <w:sz w:val="21"/>
              </w:rPr>
              <w:t>21.00</w:t>
            </w:r>
          </w:p>
        </w:tc>
        <w:tc>
          <w:tcPr>
            <w:tcW w:w="1330" w:type="dxa"/>
            <w:shd w:val="clear" w:color="auto" w:fill="CCFFFF"/>
            <w:vAlign w:val="top"/>
          </w:tcPr>
          <w:p w14:paraId="20DEFB57">
            <w:pPr>
              <w:pStyle w:val="11"/>
              <w:spacing w:before="49"/>
              <w:ind w:left="481"/>
              <w:jc w:val="left"/>
              <w:rPr>
                <w:rFonts w:ascii="Times New Roman"/>
                <w:sz w:val="21"/>
              </w:rPr>
            </w:pPr>
            <w:r>
              <w:rPr>
                <w:rFonts w:ascii="Times New Roman"/>
                <w:sz w:val="21"/>
              </w:rPr>
              <w:t>91.8</w:t>
            </w:r>
          </w:p>
        </w:tc>
      </w:tr>
      <w:tr w14:paraId="6858B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397" w:type="dxa"/>
            <w:shd w:val="clear" w:color="auto" w:fill="CCFFFF"/>
            <w:vAlign w:val="top"/>
          </w:tcPr>
          <w:p w14:paraId="149E8D43">
            <w:pPr>
              <w:pStyle w:val="11"/>
              <w:spacing w:before="35"/>
              <w:ind w:left="257" w:right="250"/>
              <w:rPr>
                <w:sz w:val="21"/>
              </w:rPr>
            </w:pPr>
            <w:r>
              <w:rPr>
                <w:sz w:val="21"/>
              </w:rPr>
              <w:t>陶粒页岩</w:t>
            </w:r>
          </w:p>
        </w:tc>
        <w:tc>
          <w:tcPr>
            <w:tcW w:w="578" w:type="dxa"/>
            <w:shd w:val="clear" w:color="auto" w:fill="CCFFFF"/>
            <w:vAlign w:val="top"/>
          </w:tcPr>
          <w:p w14:paraId="47BB7D80">
            <w:pPr>
              <w:pStyle w:val="11"/>
              <w:spacing w:before="49"/>
              <w:ind w:left="6"/>
              <w:rPr>
                <w:rFonts w:ascii="Times New Roman"/>
                <w:sz w:val="21"/>
              </w:rPr>
            </w:pPr>
            <w:r>
              <w:rPr>
                <w:rFonts w:ascii="Times New Roman"/>
                <w:w w:val="99"/>
                <w:sz w:val="21"/>
              </w:rPr>
              <w:t>1</w:t>
            </w:r>
          </w:p>
        </w:tc>
        <w:tc>
          <w:tcPr>
            <w:tcW w:w="569" w:type="dxa"/>
            <w:shd w:val="clear" w:color="auto" w:fill="CCFFFF"/>
            <w:vAlign w:val="top"/>
          </w:tcPr>
          <w:p w14:paraId="5E6A7C0D">
            <w:pPr>
              <w:pStyle w:val="11"/>
              <w:jc w:val="left"/>
              <w:rPr>
                <w:rFonts w:ascii="Times New Roman"/>
                <w:sz w:val="20"/>
              </w:rPr>
            </w:pPr>
          </w:p>
        </w:tc>
        <w:tc>
          <w:tcPr>
            <w:tcW w:w="503" w:type="dxa"/>
            <w:shd w:val="clear" w:color="auto" w:fill="CCFFFF"/>
            <w:vAlign w:val="top"/>
          </w:tcPr>
          <w:p w14:paraId="1574C700">
            <w:pPr>
              <w:pStyle w:val="11"/>
              <w:spacing w:before="49"/>
              <w:ind w:left="9"/>
              <w:rPr>
                <w:rFonts w:ascii="Times New Roman"/>
                <w:sz w:val="21"/>
              </w:rPr>
            </w:pPr>
            <w:r>
              <w:rPr>
                <w:rFonts w:ascii="Times New Roman"/>
                <w:w w:val="99"/>
                <w:sz w:val="21"/>
              </w:rPr>
              <w:t>1</w:t>
            </w:r>
          </w:p>
        </w:tc>
        <w:tc>
          <w:tcPr>
            <w:tcW w:w="536" w:type="dxa"/>
            <w:shd w:val="clear" w:color="auto" w:fill="CCFFFF"/>
            <w:vAlign w:val="top"/>
          </w:tcPr>
          <w:p w14:paraId="1A48C202">
            <w:pPr>
              <w:pStyle w:val="11"/>
              <w:jc w:val="left"/>
              <w:rPr>
                <w:rFonts w:ascii="Times New Roman"/>
                <w:sz w:val="20"/>
              </w:rPr>
            </w:pPr>
          </w:p>
        </w:tc>
        <w:tc>
          <w:tcPr>
            <w:tcW w:w="548" w:type="dxa"/>
            <w:shd w:val="clear" w:color="auto" w:fill="CCFFFF"/>
            <w:vAlign w:val="top"/>
          </w:tcPr>
          <w:p w14:paraId="64787B33">
            <w:pPr>
              <w:pStyle w:val="11"/>
              <w:jc w:val="left"/>
              <w:rPr>
                <w:rFonts w:ascii="Times New Roman"/>
                <w:sz w:val="20"/>
              </w:rPr>
            </w:pPr>
          </w:p>
        </w:tc>
        <w:tc>
          <w:tcPr>
            <w:tcW w:w="972" w:type="dxa"/>
            <w:shd w:val="clear" w:color="auto" w:fill="CCFFFF"/>
            <w:vAlign w:val="top"/>
          </w:tcPr>
          <w:p w14:paraId="5F7B446A">
            <w:pPr>
              <w:pStyle w:val="11"/>
              <w:spacing w:before="49"/>
              <w:ind w:left="9"/>
              <w:rPr>
                <w:rFonts w:ascii="Times New Roman"/>
                <w:sz w:val="21"/>
              </w:rPr>
            </w:pPr>
            <w:r>
              <w:rPr>
                <w:rFonts w:ascii="Times New Roman"/>
                <w:w w:val="99"/>
                <w:sz w:val="21"/>
              </w:rPr>
              <w:t>1</w:t>
            </w:r>
          </w:p>
        </w:tc>
        <w:tc>
          <w:tcPr>
            <w:tcW w:w="1151" w:type="dxa"/>
            <w:shd w:val="clear" w:color="auto" w:fill="CCFFFF"/>
            <w:vAlign w:val="top"/>
          </w:tcPr>
          <w:p w14:paraId="1E4118BB">
            <w:pPr>
              <w:pStyle w:val="11"/>
              <w:spacing w:before="49"/>
              <w:ind w:left="443"/>
              <w:jc w:val="left"/>
              <w:rPr>
                <w:rFonts w:ascii="Times New Roman"/>
                <w:sz w:val="21"/>
              </w:rPr>
            </w:pPr>
            <w:r>
              <w:rPr>
                <w:rFonts w:ascii="Times New Roman"/>
                <w:sz w:val="21"/>
              </w:rPr>
              <w:t>0.0</w:t>
            </w:r>
          </w:p>
        </w:tc>
        <w:tc>
          <w:tcPr>
            <w:tcW w:w="1406" w:type="dxa"/>
            <w:shd w:val="clear" w:color="auto" w:fill="CCFFFF"/>
            <w:vAlign w:val="top"/>
          </w:tcPr>
          <w:p w14:paraId="32F495B3">
            <w:pPr>
              <w:pStyle w:val="11"/>
              <w:spacing w:before="49"/>
              <w:ind w:left="157" w:right="148"/>
              <w:rPr>
                <w:rFonts w:ascii="Times New Roman"/>
                <w:sz w:val="21"/>
              </w:rPr>
            </w:pPr>
            <w:r>
              <w:rPr>
                <w:rFonts w:ascii="Times New Roman"/>
                <w:sz w:val="21"/>
              </w:rPr>
              <w:t>0.0</w:t>
            </w:r>
          </w:p>
        </w:tc>
        <w:tc>
          <w:tcPr>
            <w:tcW w:w="1339" w:type="dxa"/>
            <w:shd w:val="clear" w:color="auto" w:fill="CCFFFF"/>
            <w:vAlign w:val="top"/>
          </w:tcPr>
          <w:p w14:paraId="48D1F11A">
            <w:pPr>
              <w:pStyle w:val="11"/>
              <w:spacing w:before="49"/>
              <w:ind w:left="359" w:right="349"/>
              <w:rPr>
                <w:rFonts w:ascii="Times New Roman"/>
                <w:sz w:val="21"/>
              </w:rPr>
            </w:pPr>
            <w:r>
              <w:rPr>
                <w:rFonts w:ascii="Times New Roman"/>
                <w:sz w:val="21"/>
              </w:rPr>
              <w:t>0.0</w:t>
            </w:r>
          </w:p>
        </w:tc>
        <w:tc>
          <w:tcPr>
            <w:tcW w:w="1417" w:type="dxa"/>
            <w:shd w:val="clear" w:color="auto" w:fill="CCFFFF"/>
            <w:vAlign w:val="top"/>
          </w:tcPr>
          <w:p w14:paraId="51FE3BFB">
            <w:pPr>
              <w:pStyle w:val="11"/>
              <w:spacing w:before="49"/>
              <w:ind w:left="451" w:right="442"/>
              <w:rPr>
                <w:rFonts w:ascii="Times New Roman"/>
                <w:sz w:val="21"/>
              </w:rPr>
            </w:pPr>
            <w:r>
              <w:rPr>
                <w:rFonts w:ascii="Times New Roman"/>
                <w:sz w:val="21"/>
              </w:rPr>
              <w:t>0.0</w:t>
            </w:r>
          </w:p>
        </w:tc>
        <w:tc>
          <w:tcPr>
            <w:tcW w:w="1335" w:type="dxa"/>
            <w:shd w:val="clear" w:color="auto" w:fill="CCFFFF"/>
            <w:vAlign w:val="top"/>
          </w:tcPr>
          <w:p w14:paraId="4C6340C4">
            <w:pPr>
              <w:pStyle w:val="11"/>
              <w:spacing w:before="49"/>
              <w:ind w:left="408" w:right="401"/>
              <w:rPr>
                <w:rFonts w:ascii="Times New Roman"/>
                <w:sz w:val="21"/>
              </w:rPr>
            </w:pPr>
            <w:r>
              <w:rPr>
                <w:rFonts w:ascii="Times New Roman"/>
                <w:sz w:val="21"/>
              </w:rPr>
              <w:t>0.0</w:t>
            </w:r>
          </w:p>
        </w:tc>
        <w:tc>
          <w:tcPr>
            <w:tcW w:w="1330" w:type="dxa"/>
            <w:shd w:val="clear" w:color="auto" w:fill="CCFFFF"/>
            <w:vAlign w:val="top"/>
          </w:tcPr>
          <w:p w14:paraId="60AB7393">
            <w:pPr>
              <w:pStyle w:val="11"/>
              <w:spacing w:before="49"/>
              <w:ind w:left="481"/>
              <w:jc w:val="left"/>
              <w:rPr>
                <w:rFonts w:ascii="Times New Roman"/>
                <w:sz w:val="21"/>
              </w:rPr>
            </w:pPr>
            <w:r>
              <w:rPr>
                <w:rFonts w:ascii="Times New Roman"/>
                <w:sz w:val="21"/>
              </w:rPr>
              <w:t>85.6</w:t>
            </w:r>
          </w:p>
        </w:tc>
      </w:tr>
      <w:tr w14:paraId="0841E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397" w:type="dxa"/>
            <w:shd w:val="clear" w:color="auto" w:fill="CCFFFF"/>
            <w:vAlign w:val="top"/>
          </w:tcPr>
          <w:p w14:paraId="5C472656">
            <w:pPr>
              <w:pStyle w:val="11"/>
              <w:spacing w:before="37"/>
              <w:ind w:left="257" w:right="248"/>
              <w:rPr>
                <w:sz w:val="21"/>
              </w:rPr>
            </w:pPr>
            <w:r>
              <w:rPr>
                <w:sz w:val="21"/>
              </w:rPr>
              <w:t>矿泉水</w:t>
            </w:r>
          </w:p>
        </w:tc>
        <w:tc>
          <w:tcPr>
            <w:tcW w:w="578" w:type="dxa"/>
            <w:shd w:val="clear" w:color="auto" w:fill="CCFFFF"/>
            <w:vAlign w:val="top"/>
          </w:tcPr>
          <w:p w14:paraId="38D84514">
            <w:pPr>
              <w:pStyle w:val="11"/>
              <w:spacing w:before="51"/>
              <w:ind w:left="6"/>
              <w:rPr>
                <w:rFonts w:ascii="Times New Roman"/>
                <w:sz w:val="21"/>
              </w:rPr>
            </w:pPr>
            <w:r>
              <w:rPr>
                <w:rFonts w:ascii="Times New Roman"/>
                <w:w w:val="99"/>
                <w:sz w:val="21"/>
              </w:rPr>
              <w:t>2</w:t>
            </w:r>
          </w:p>
        </w:tc>
        <w:tc>
          <w:tcPr>
            <w:tcW w:w="569" w:type="dxa"/>
            <w:shd w:val="clear" w:color="auto" w:fill="CCFFFF"/>
            <w:vAlign w:val="top"/>
          </w:tcPr>
          <w:p w14:paraId="39409FE4">
            <w:pPr>
              <w:pStyle w:val="11"/>
              <w:jc w:val="left"/>
              <w:rPr>
                <w:rFonts w:ascii="Times New Roman"/>
                <w:sz w:val="20"/>
              </w:rPr>
            </w:pPr>
          </w:p>
        </w:tc>
        <w:tc>
          <w:tcPr>
            <w:tcW w:w="503" w:type="dxa"/>
            <w:shd w:val="clear" w:color="auto" w:fill="CCFFFF"/>
            <w:vAlign w:val="top"/>
          </w:tcPr>
          <w:p w14:paraId="77313540">
            <w:pPr>
              <w:pStyle w:val="11"/>
              <w:jc w:val="left"/>
              <w:rPr>
                <w:rFonts w:ascii="Times New Roman"/>
                <w:sz w:val="20"/>
              </w:rPr>
            </w:pPr>
          </w:p>
        </w:tc>
        <w:tc>
          <w:tcPr>
            <w:tcW w:w="536" w:type="dxa"/>
            <w:shd w:val="clear" w:color="auto" w:fill="CCFFFF"/>
            <w:vAlign w:val="top"/>
          </w:tcPr>
          <w:p w14:paraId="1DB977D0">
            <w:pPr>
              <w:pStyle w:val="11"/>
              <w:spacing w:before="51"/>
              <w:ind w:left="7"/>
              <w:rPr>
                <w:rFonts w:ascii="Times New Roman"/>
                <w:sz w:val="21"/>
              </w:rPr>
            </w:pPr>
            <w:r>
              <w:rPr>
                <w:rFonts w:ascii="Times New Roman"/>
                <w:w w:val="99"/>
                <w:sz w:val="21"/>
              </w:rPr>
              <w:t>2</w:t>
            </w:r>
          </w:p>
        </w:tc>
        <w:tc>
          <w:tcPr>
            <w:tcW w:w="548" w:type="dxa"/>
            <w:shd w:val="clear" w:color="auto" w:fill="CCFFFF"/>
            <w:vAlign w:val="top"/>
          </w:tcPr>
          <w:p w14:paraId="2C724922">
            <w:pPr>
              <w:pStyle w:val="11"/>
              <w:jc w:val="left"/>
              <w:rPr>
                <w:rFonts w:ascii="Times New Roman"/>
                <w:sz w:val="20"/>
              </w:rPr>
            </w:pPr>
          </w:p>
        </w:tc>
        <w:tc>
          <w:tcPr>
            <w:tcW w:w="972" w:type="dxa"/>
            <w:shd w:val="clear" w:color="auto" w:fill="CCFFFF"/>
            <w:vAlign w:val="top"/>
          </w:tcPr>
          <w:p w14:paraId="0790D706">
            <w:pPr>
              <w:pStyle w:val="11"/>
              <w:spacing w:before="51"/>
              <w:ind w:left="360" w:right="351"/>
              <w:rPr>
                <w:rFonts w:ascii="Times New Roman"/>
                <w:sz w:val="21"/>
              </w:rPr>
            </w:pPr>
            <w:r>
              <w:rPr>
                <w:rFonts w:ascii="Times New Roman"/>
                <w:sz w:val="21"/>
              </w:rPr>
              <w:t>60</w:t>
            </w:r>
          </w:p>
        </w:tc>
        <w:tc>
          <w:tcPr>
            <w:tcW w:w="1151" w:type="dxa"/>
            <w:shd w:val="clear" w:color="auto" w:fill="CCFFFF"/>
            <w:vAlign w:val="top"/>
          </w:tcPr>
          <w:p w14:paraId="1A6B85D8">
            <w:pPr>
              <w:pStyle w:val="11"/>
              <w:spacing w:before="51"/>
              <w:ind w:left="390"/>
              <w:jc w:val="left"/>
              <w:rPr>
                <w:rFonts w:ascii="Times New Roman"/>
                <w:sz w:val="21"/>
              </w:rPr>
            </w:pPr>
            <w:r>
              <w:rPr>
                <w:rFonts w:ascii="Times New Roman"/>
                <w:sz w:val="21"/>
              </w:rPr>
              <w:t>0.38</w:t>
            </w:r>
          </w:p>
        </w:tc>
        <w:tc>
          <w:tcPr>
            <w:tcW w:w="1406" w:type="dxa"/>
            <w:shd w:val="clear" w:color="auto" w:fill="CCFFFF"/>
            <w:vAlign w:val="top"/>
          </w:tcPr>
          <w:p w14:paraId="188DF6C3">
            <w:pPr>
              <w:pStyle w:val="11"/>
              <w:spacing w:before="51"/>
              <w:ind w:left="157" w:right="148"/>
              <w:rPr>
                <w:rFonts w:ascii="Times New Roman"/>
                <w:sz w:val="21"/>
              </w:rPr>
            </w:pPr>
            <w:r>
              <w:rPr>
                <w:rFonts w:ascii="Times New Roman"/>
                <w:sz w:val="21"/>
              </w:rPr>
              <w:t>119.00</w:t>
            </w:r>
          </w:p>
        </w:tc>
        <w:tc>
          <w:tcPr>
            <w:tcW w:w="1339" w:type="dxa"/>
            <w:shd w:val="clear" w:color="auto" w:fill="CCFFFF"/>
            <w:vAlign w:val="top"/>
          </w:tcPr>
          <w:p w14:paraId="0817E047">
            <w:pPr>
              <w:pStyle w:val="11"/>
              <w:spacing w:before="51"/>
              <w:ind w:left="359" w:right="349"/>
              <w:rPr>
                <w:rFonts w:ascii="Times New Roman"/>
                <w:sz w:val="21"/>
              </w:rPr>
            </w:pPr>
            <w:r>
              <w:rPr>
                <w:rFonts w:ascii="Times New Roman"/>
                <w:sz w:val="21"/>
              </w:rPr>
              <w:t>101.0</w:t>
            </w:r>
          </w:p>
        </w:tc>
        <w:tc>
          <w:tcPr>
            <w:tcW w:w="1417" w:type="dxa"/>
            <w:shd w:val="clear" w:color="auto" w:fill="CCFFFF"/>
            <w:vAlign w:val="top"/>
          </w:tcPr>
          <w:p w14:paraId="041766D0">
            <w:pPr>
              <w:pStyle w:val="11"/>
              <w:spacing w:before="51"/>
              <w:ind w:left="451" w:right="442"/>
              <w:rPr>
                <w:rFonts w:ascii="Times New Roman"/>
                <w:sz w:val="21"/>
              </w:rPr>
            </w:pPr>
            <w:r>
              <w:rPr>
                <w:rFonts w:ascii="Times New Roman"/>
                <w:sz w:val="21"/>
              </w:rPr>
              <w:t>37.00</w:t>
            </w:r>
          </w:p>
        </w:tc>
        <w:tc>
          <w:tcPr>
            <w:tcW w:w="1335" w:type="dxa"/>
            <w:shd w:val="clear" w:color="auto" w:fill="CCFFFF"/>
            <w:vAlign w:val="top"/>
          </w:tcPr>
          <w:p w14:paraId="7028E2C2">
            <w:pPr>
              <w:pStyle w:val="11"/>
              <w:spacing w:before="51"/>
              <w:ind w:left="411" w:right="401"/>
              <w:rPr>
                <w:rFonts w:ascii="Times New Roman"/>
                <w:sz w:val="21"/>
              </w:rPr>
            </w:pPr>
            <w:r>
              <w:rPr>
                <w:rFonts w:ascii="Times New Roman"/>
                <w:sz w:val="21"/>
              </w:rPr>
              <w:t>21.00</w:t>
            </w:r>
          </w:p>
        </w:tc>
        <w:tc>
          <w:tcPr>
            <w:tcW w:w="1330" w:type="dxa"/>
            <w:shd w:val="clear" w:color="auto" w:fill="CCFFFF"/>
            <w:vAlign w:val="top"/>
          </w:tcPr>
          <w:p w14:paraId="11D1C762">
            <w:pPr>
              <w:pStyle w:val="11"/>
              <w:spacing w:before="51"/>
              <w:ind w:left="531"/>
              <w:jc w:val="left"/>
              <w:rPr>
                <w:rFonts w:ascii="Times New Roman"/>
                <w:sz w:val="21"/>
              </w:rPr>
            </w:pPr>
            <w:r>
              <w:rPr>
                <w:rFonts w:ascii="Times New Roman"/>
                <w:sz w:val="21"/>
              </w:rPr>
              <w:t>6.2</w:t>
            </w:r>
          </w:p>
        </w:tc>
      </w:tr>
    </w:tbl>
    <w:p w14:paraId="27014990">
      <w:pPr>
        <w:pStyle w:val="2"/>
        <w:rPr>
          <w:sz w:val="20"/>
        </w:rPr>
      </w:pPr>
    </w:p>
    <w:p w14:paraId="7BF8BA0C">
      <w:pPr>
        <w:pStyle w:val="2"/>
        <w:rPr>
          <w:sz w:val="20"/>
        </w:rPr>
      </w:pPr>
    </w:p>
    <w:p w14:paraId="5D0E71C4">
      <w:pPr>
        <w:pStyle w:val="2"/>
        <w:rPr>
          <w:sz w:val="20"/>
        </w:rPr>
      </w:pPr>
    </w:p>
    <w:p w14:paraId="282EFC70">
      <w:pPr>
        <w:pStyle w:val="2"/>
        <w:rPr>
          <w:sz w:val="20"/>
        </w:rPr>
      </w:pPr>
    </w:p>
    <w:p w14:paraId="7A1963A4">
      <w:pPr>
        <w:pStyle w:val="2"/>
        <w:rPr>
          <w:sz w:val="20"/>
        </w:rPr>
      </w:pPr>
    </w:p>
    <w:p w14:paraId="39CF2F7D">
      <w:pPr>
        <w:pStyle w:val="2"/>
        <w:rPr>
          <w:sz w:val="20"/>
        </w:rPr>
      </w:pPr>
    </w:p>
    <w:p w14:paraId="61745784">
      <w:pPr>
        <w:pStyle w:val="2"/>
        <w:rPr>
          <w:sz w:val="20"/>
        </w:rPr>
      </w:pPr>
    </w:p>
    <w:p w14:paraId="7920EA99">
      <w:pPr>
        <w:pStyle w:val="2"/>
        <w:rPr>
          <w:sz w:val="20"/>
        </w:rPr>
      </w:pPr>
    </w:p>
    <w:p w14:paraId="453C61C2">
      <w:pPr>
        <w:pStyle w:val="2"/>
        <w:rPr>
          <w:sz w:val="20"/>
        </w:rPr>
      </w:pPr>
    </w:p>
    <w:p w14:paraId="27BDFFF0">
      <w:pPr>
        <w:pStyle w:val="2"/>
        <w:rPr>
          <w:sz w:val="20"/>
        </w:rPr>
      </w:pPr>
    </w:p>
    <w:p w14:paraId="3007D529">
      <w:pPr>
        <w:pStyle w:val="2"/>
        <w:rPr>
          <w:sz w:val="20"/>
        </w:rPr>
      </w:pPr>
    </w:p>
    <w:p w14:paraId="1BB443ED">
      <w:pPr>
        <w:pStyle w:val="2"/>
        <w:rPr>
          <w:sz w:val="20"/>
        </w:rPr>
      </w:pPr>
    </w:p>
    <w:p w14:paraId="358BA502">
      <w:pPr>
        <w:pStyle w:val="2"/>
        <w:rPr>
          <w:sz w:val="20"/>
        </w:rPr>
      </w:pPr>
    </w:p>
    <w:p w14:paraId="04A16AC6">
      <w:pPr>
        <w:pStyle w:val="2"/>
        <w:rPr>
          <w:sz w:val="20"/>
        </w:rPr>
      </w:pPr>
    </w:p>
    <w:p w14:paraId="22758D29">
      <w:pPr>
        <w:pStyle w:val="2"/>
        <w:rPr>
          <w:sz w:val="20"/>
        </w:rPr>
      </w:pPr>
    </w:p>
    <w:p w14:paraId="100F9C66">
      <w:pPr>
        <w:pStyle w:val="2"/>
        <w:rPr>
          <w:sz w:val="20"/>
        </w:rPr>
      </w:pPr>
    </w:p>
    <w:p w14:paraId="338583C2">
      <w:pPr>
        <w:pStyle w:val="2"/>
        <w:rPr>
          <w:sz w:val="20"/>
        </w:rPr>
      </w:pPr>
    </w:p>
    <w:p w14:paraId="7E83D840">
      <w:pPr>
        <w:pStyle w:val="2"/>
        <w:rPr>
          <w:sz w:val="20"/>
        </w:rPr>
      </w:pPr>
    </w:p>
    <w:p w14:paraId="5D878418">
      <w:pPr>
        <w:pStyle w:val="2"/>
        <w:rPr>
          <w:sz w:val="20"/>
        </w:rPr>
      </w:pPr>
    </w:p>
    <w:p w14:paraId="04175CA3">
      <w:pPr>
        <w:pStyle w:val="2"/>
        <w:rPr>
          <w:sz w:val="20"/>
        </w:rPr>
      </w:pPr>
    </w:p>
    <w:p w14:paraId="660439CA">
      <w:pPr>
        <w:pStyle w:val="2"/>
        <w:rPr>
          <w:sz w:val="20"/>
        </w:rPr>
      </w:pPr>
    </w:p>
    <w:p w14:paraId="07ACED20">
      <w:pPr>
        <w:pStyle w:val="2"/>
        <w:rPr>
          <w:sz w:val="20"/>
        </w:rPr>
      </w:pPr>
    </w:p>
    <w:p w14:paraId="54A88E67">
      <w:pPr>
        <w:pStyle w:val="2"/>
        <w:rPr>
          <w:sz w:val="20"/>
        </w:rPr>
      </w:pPr>
    </w:p>
    <w:p w14:paraId="50E34E73">
      <w:pPr>
        <w:pStyle w:val="2"/>
        <w:rPr>
          <w:sz w:val="20"/>
        </w:rPr>
      </w:pPr>
    </w:p>
    <w:p w14:paraId="7A518300">
      <w:pPr>
        <w:pStyle w:val="2"/>
        <w:rPr>
          <w:sz w:val="20"/>
        </w:rPr>
      </w:pPr>
    </w:p>
    <w:p w14:paraId="0B5C4AA7">
      <w:pPr>
        <w:pStyle w:val="2"/>
        <w:spacing w:before="9"/>
        <w:rPr>
          <w:sz w:val="17"/>
        </w:rPr>
      </w:pPr>
    </w:p>
    <w:p w14:paraId="7D3AD0CD">
      <w:pPr>
        <w:spacing w:before="0"/>
        <w:ind w:left="0" w:right="1" w:firstLine="0"/>
        <w:jc w:val="center"/>
        <w:rPr>
          <w:sz w:val="18"/>
        </w:rPr>
      </w:pPr>
      <w:r>
        <w:rPr>
          <w:sz w:val="18"/>
        </w:rPr>
        <w:t>5</w:t>
      </w:r>
    </w:p>
    <w:p w14:paraId="4664751A">
      <w:pPr>
        <w:spacing w:after="0"/>
        <w:jc w:val="center"/>
        <w:rPr>
          <w:sz w:val="18"/>
        </w:rPr>
        <w:sectPr>
          <w:footerReference r:id="rId6" w:type="default"/>
          <w:pgSz w:w="16840" w:h="11910" w:orient="landscape"/>
          <w:pgMar w:top="1100" w:right="1760" w:bottom="280" w:left="1760" w:header="0" w:footer="0" w:gutter="0"/>
          <w:cols w:space="720" w:num="1"/>
        </w:sectPr>
      </w:pPr>
    </w:p>
    <w:p w14:paraId="5E8F7937">
      <w:pPr>
        <w:pStyle w:val="2"/>
        <w:spacing w:before="46"/>
        <w:ind w:right="38"/>
        <w:jc w:val="center"/>
        <w:rPr>
          <w:rFonts w:hint="eastAsia" w:ascii="黑体" w:eastAsia="黑体"/>
        </w:rPr>
      </w:pPr>
      <w:bookmarkStart w:id="8" w:name="第三节 形势与要求"/>
      <w:bookmarkEnd w:id="8"/>
      <w:bookmarkStart w:id="9" w:name="_bookmark4"/>
      <w:bookmarkEnd w:id="9"/>
      <w:r>
        <w:rPr>
          <w:rFonts w:hint="eastAsia" w:ascii="黑体" w:eastAsia="黑体"/>
        </w:rPr>
        <w:t>第三节 形势与要求</w:t>
      </w:r>
    </w:p>
    <w:p w14:paraId="640D11F2">
      <w:pPr>
        <w:pStyle w:val="2"/>
        <w:rPr>
          <w:rFonts w:ascii="黑体"/>
          <w:sz w:val="29"/>
        </w:rPr>
      </w:pPr>
    </w:p>
    <w:p w14:paraId="1429B09E">
      <w:pPr>
        <w:pStyle w:val="2"/>
        <w:ind w:left="820"/>
        <w:rPr>
          <w:rFonts w:hint="eastAsia" w:ascii="黑体" w:eastAsia="黑体"/>
        </w:rPr>
      </w:pPr>
      <w:r>
        <w:rPr>
          <w:rFonts w:hint="eastAsia" w:ascii="黑体" w:eastAsia="黑体"/>
        </w:rPr>
        <w:t>一、面临的形势</w:t>
      </w:r>
    </w:p>
    <w:p w14:paraId="5F57D23F">
      <w:pPr>
        <w:pStyle w:val="2"/>
        <w:spacing w:before="216" w:line="374" w:lineRule="auto"/>
        <w:ind w:left="220" w:right="107" w:firstLine="600"/>
      </w:pPr>
      <w:r>
        <w:t>“十四五”时期，是国家全面建成小康社会、实现第一个百年奋斗目标之后，乘势而上开启全面建设社会主义现代化国家新征程、向第二个百年奋斗目标进军的第一个五年，是我市全面振兴全方位振兴的关键期和现代化都市圈建设的加速推进期。新发展阶段明确了前进</w:t>
      </w:r>
      <w:r>
        <w:rPr>
          <w:spacing w:val="-13"/>
        </w:rPr>
        <w:t xml:space="preserve">方向和目标，即聚力打造“一城三区”——哈长城市群重要节点城市， </w:t>
      </w:r>
      <w:r>
        <w:t>全国知名绿色食品产业示范区、国家现代农业发展引领区、全省循环经济发展先导区。</w:t>
      </w:r>
    </w:p>
    <w:p w14:paraId="4B0BA96C">
      <w:pPr>
        <w:pStyle w:val="2"/>
        <w:spacing w:before="3" w:line="374" w:lineRule="auto"/>
        <w:ind w:left="220" w:right="258" w:firstLine="600"/>
        <w:jc w:val="both"/>
      </w:pPr>
      <w:r>
        <w:t>未来五年，我市矿业发展将要面临更多的严峻考验，主要表现在碳达峰与碳中和目标及能源安全背景下对现阶段及未来一段时期矿产资源开发利用提出了更高的要求，生态环境保护对矿产资源勘查开发的约束持续增强。因此，我市面临着矿业领域生态文明建设、高质量发展、全面深化矿产资源管理改革等各项艰巨任务。如何有效提升宏观调控能力和科技创新能力，因地制宜、切合实际、创造性地开展矿业工作是全新挑战。</w:t>
      </w:r>
    </w:p>
    <w:p w14:paraId="4446864A">
      <w:pPr>
        <w:pStyle w:val="2"/>
        <w:spacing w:before="2"/>
        <w:ind w:left="820"/>
        <w:rPr>
          <w:rFonts w:hint="eastAsia" w:ascii="黑体" w:eastAsia="黑体"/>
        </w:rPr>
      </w:pPr>
      <w:r>
        <w:rPr>
          <w:rFonts w:hint="eastAsia" w:ascii="黑体" w:eastAsia="黑体"/>
        </w:rPr>
        <w:t>二、主要任务</w:t>
      </w:r>
    </w:p>
    <w:p w14:paraId="75DC8E98">
      <w:pPr>
        <w:pStyle w:val="2"/>
        <w:spacing w:before="216" w:line="374" w:lineRule="auto"/>
        <w:ind w:left="220" w:right="256" w:firstLine="600"/>
        <w:jc w:val="both"/>
      </w:pPr>
      <w:r>
        <w:t>根据当前矿业发展形势，规划期内我市矿产资源开发利用和保护应继续坚持统筹谋划、科学布局，正确引导矿业稳步健康发展；加快生态文明建设，注重矿山生态保护修复和矿业绿色发展，实现资源效益、环境效益、经济效益和社会效益的和谐统一；全面深化矿产资源管理改革，充分发挥市场配置资源的决定作用和政府的引导作用，促进资源合理利用与保护；鼓励科技创新，提高资源节约、集约利用水</w:t>
      </w:r>
    </w:p>
    <w:p w14:paraId="56092D27">
      <w:pPr>
        <w:spacing w:after="0" w:line="374" w:lineRule="auto"/>
        <w:jc w:val="both"/>
        <w:sectPr>
          <w:footerReference r:id="rId7" w:type="default"/>
          <w:pgSz w:w="11910" w:h="16840"/>
          <w:pgMar w:top="1380" w:right="1180" w:bottom="1180" w:left="1220" w:header="0" w:footer="993" w:gutter="0"/>
          <w:pgNumType w:start="6"/>
          <w:cols w:space="720" w:num="1"/>
        </w:sectPr>
      </w:pPr>
    </w:p>
    <w:p w14:paraId="134A3312">
      <w:pPr>
        <w:pStyle w:val="2"/>
        <w:spacing w:before="30" w:line="374" w:lineRule="auto"/>
        <w:ind w:left="220" w:right="258"/>
      </w:pPr>
      <w:r>
        <w:t>平，使我市矿产资源在有效保护中高效利用，推进资源利用方式合理转变。</w:t>
      </w:r>
    </w:p>
    <w:p w14:paraId="7C26FC50">
      <w:pPr>
        <w:spacing w:after="0" w:line="374" w:lineRule="auto"/>
        <w:sectPr>
          <w:pgSz w:w="11910" w:h="16840"/>
          <w:pgMar w:top="1240" w:right="1180" w:bottom="1180" w:left="1220" w:header="0" w:footer="993" w:gutter="0"/>
          <w:cols w:space="720" w:num="1"/>
        </w:sectPr>
      </w:pPr>
    </w:p>
    <w:p w14:paraId="62601A54">
      <w:pPr>
        <w:pStyle w:val="9"/>
        <w:tabs>
          <w:tab w:val="left" w:pos="1439"/>
        </w:tabs>
      </w:pPr>
      <w:bookmarkStart w:id="10" w:name="第二章  指导原则与目标"/>
      <w:bookmarkEnd w:id="10"/>
      <w:bookmarkStart w:id="11" w:name="_bookmark5"/>
      <w:bookmarkEnd w:id="11"/>
      <w:r>
        <w:t>第二章</w:t>
      </w:r>
      <w:r>
        <w:tab/>
      </w:r>
      <w:r>
        <w:t>指导原则与目标</w:t>
      </w:r>
    </w:p>
    <w:p w14:paraId="4064452C">
      <w:pPr>
        <w:pStyle w:val="2"/>
        <w:spacing w:before="275"/>
        <w:ind w:right="38"/>
        <w:jc w:val="center"/>
        <w:rPr>
          <w:rFonts w:hint="eastAsia" w:ascii="黑体" w:eastAsia="黑体"/>
        </w:rPr>
      </w:pPr>
      <w:bookmarkStart w:id="12" w:name="_bookmark6"/>
      <w:bookmarkEnd w:id="12"/>
      <w:bookmarkStart w:id="13" w:name="第一节 指导思想"/>
      <w:bookmarkEnd w:id="13"/>
      <w:r>
        <w:rPr>
          <w:rFonts w:hint="eastAsia" w:ascii="黑体" w:eastAsia="黑体"/>
        </w:rPr>
        <w:t>第一节 指导思想</w:t>
      </w:r>
    </w:p>
    <w:p w14:paraId="1E7CC39B">
      <w:pPr>
        <w:pStyle w:val="2"/>
        <w:rPr>
          <w:rFonts w:ascii="黑体"/>
          <w:sz w:val="29"/>
        </w:rPr>
      </w:pPr>
    </w:p>
    <w:p w14:paraId="084C1514">
      <w:pPr>
        <w:pStyle w:val="2"/>
        <w:spacing w:line="374" w:lineRule="auto"/>
        <w:ind w:left="220" w:right="258" w:firstLine="600"/>
        <w:jc w:val="both"/>
      </w:pPr>
      <w:r>
        <w:rPr>
          <w:spacing w:val="-1"/>
        </w:rPr>
        <w:t>以习近平新时代中国特色社会主义思想为指导，坚持</w:t>
      </w:r>
      <w:bookmarkStart w:id="56" w:name="_GoBack"/>
      <w:bookmarkEnd w:id="56"/>
      <w:r>
        <w:rPr>
          <w:rFonts w:hint="eastAsia"/>
          <w:spacing w:val="-1"/>
          <w:lang w:eastAsia="zh-CN"/>
        </w:rPr>
        <w:t>习近平生态文明思想</w:t>
      </w:r>
      <w:r>
        <w:rPr>
          <w:spacing w:val="-1"/>
        </w:rPr>
        <w:t>，全面贯彻落实党的十九大和十九届历次全会精神和习近平总书记视察吉林重要讲话重要指示精神，坚决落实市委、市政府决策部署， 以提高矿产资源保障能力为目标，以推进矿产资源合理利用与保护为主线，以持续推进绿色发展、转变资源利用方式为中心，统筹安排全市矿产资源勘查开发与保护各项工作，加大对矿泉水等潜在优势矿产资源勘查开发力度，加强矿山生态保护修复和绿色矿山建设，努力促进矿产资源开发利用经济效益、资源效益、环境效益、社会效益的统</w:t>
      </w:r>
      <w:r>
        <w:t>一，提高我市矿业经济可持续发展水平。</w:t>
      </w:r>
    </w:p>
    <w:p w14:paraId="3F972859">
      <w:pPr>
        <w:pStyle w:val="2"/>
        <w:spacing w:before="159"/>
        <w:ind w:right="38"/>
        <w:jc w:val="center"/>
        <w:rPr>
          <w:rFonts w:hint="eastAsia" w:ascii="黑体" w:eastAsia="黑体"/>
        </w:rPr>
      </w:pPr>
      <w:bookmarkStart w:id="14" w:name="_bookmark7"/>
      <w:bookmarkEnd w:id="14"/>
      <w:bookmarkStart w:id="15" w:name="第二节 基本原则"/>
      <w:bookmarkEnd w:id="15"/>
      <w:r>
        <w:rPr>
          <w:rFonts w:hint="eastAsia" w:ascii="黑体" w:eastAsia="黑体"/>
          <w:spacing w:val="-1"/>
        </w:rPr>
        <w:t>第二节 基本原则</w:t>
      </w:r>
    </w:p>
    <w:p w14:paraId="3BD49A87">
      <w:pPr>
        <w:pStyle w:val="2"/>
        <w:spacing w:before="192" w:line="600" w:lineRule="exact"/>
        <w:ind w:left="220" w:right="256" w:firstLine="600"/>
        <w:jc w:val="both"/>
      </w:pPr>
      <w:r>
        <w:rPr>
          <w:rFonts w:hint="eastAsia" w:ascii="Microsoft JhengHei" w:eastAsia="Microsoft JhengHei"/>
          <w:b/>
        </w:rPr>
        <w:t>坚持资源保护与合理利用相协调</w:t>
      </w:r>
      <w:r>
        <w:rPr>
          <w:rFonts w:hint="eastAsia" w:ascii="Microsoft JhengHei"/>
          <w:b/>
          <w:lang w:eastAsia="zh-CN"/>
        </w:rPr>
        <w:t>。</w:t>
      </w:r>
      <w:r>
        <w:t>加强准入管理，逐步淘汰技术落后、产能低的小型矿山企业，提高矿产资源节约集约利用水平；鼓励矿山企业积极开展研发和技术改造，提高开采技术水平，将资源保护和节约集约意识贯穿于矿产开发的始终。</w:t>
      </w:r>
    </w:p>
    <w:p w14:paraId="1A850C4E">
      <w:pPr>
        <w:pStyle w:val="2"/>
        <w:spacing w:line="600" w:lineRule="exact"/>
        <w:ind w:left="220" w:right="258" w:firstLine="600"/>
        <w:jc w:val="both"/>
      </w:pPr>
      <w:r>
        <w:rPr>
          <w:rFonts w:hint="eastAsia" w:ascii="Microsoft JhengHei" w:eastAsia="Microsoft JhengHei"/>
          <w:b/>
        </w:rPr>
        <w:t>坚持资源开发与经济发展相结合</w:t>
      </w:r>
      <w:r>
        <w:rPr>
          <w:rFonts w:hint="eastAsia" w:ascii="Microsoft JhengHei"/>
          <w:b/>
          <w:lang w:eastAsia="zh-CN"/>
        </w:rPr>
        <w:t>。</w:t>
      </w:r>
      <w:r>
        <w:t>根据矿产资源禀赋条件，结合矿产资源勘查开发实际情况，因地制宜、统筹规划、合理布局。强化矿产资源安全保障能力，以矿业开发服务地方经济建设为出发点，突出地方特色，加大紧缺及优势矿产资源勘查开发力度，带动全市矿业经济全面好转。</w:t>
      </w:r>
    </w:p>
    <w:p w14:paraId="2D214CCA">
      <w:pPr>
        <w:spacing w:before="81"/>
        <w:ind w:left="820" w:right="0" w:firstLine="0"/>
        <w:jc w:val="left"/>
        <w:rPr>
          <w:sz w:val="30"/>
        </w:rPr>
      </w:pPr>
      <w:r>
        <w:rPr>
          <w:rFonts w:hint="eastAsia" w:ascii="Microsoft JhengHei" w:hAnsi="Microsoft JhengHei" w:eastAsia="Microsoft JhengHei"/>
          <w:b/>
          <w:sz w:val="30"/>
        </w:rPr>
        <w:t>坚持资源开发与环境保护相协调</w:t>
      </w:r>
      <w:r>
        <w:rPr>
          <w:rFonts w:hint="eastAsia" w:ascii="Microsoft JhengHei" w:hAnsi="Microsoft JhengHei"/>
          <w:b/>
          <w:sz w:val="30"/>
          <w:lang w:eastAsia="zh-CN"/>
        </w:rPr>
        <w:t>。</w:t>
      </w:r>
      <w:r>
        <w:rPr>
          <w:sz w:val="30"/>
        </w:rPr>
        <w:t>深入贯彻“绿水青山就是金山</w:t>
      </w:r>
    </w:p>
    <w:p w14:paraId="7B5686FA">
      <w:pPr>
        <w:spacing w:after="0"/>
        <w:jc w:val="left"/>
        <w:rPr>
          <w:sz w:val="30"/>
        </w:rPr>
        <w:sectPr>
          <w:pgSz w:w="11910" w:h="16840"/>
          <w:pgMar w:top="1260" w:right="1180" w:bottom="1180" w:left="1220" w:header="0" w:footer="993" w:gutter="0"/>
          <w:cols w:space="720" w:num="1"/>
        </w:sectPr>
      </w:pPr>
    </w:p>
    <w:p w14:paraId="6AE6A9E2">
      <w:pPr>
        <w:pStyle w:val="2"/>
        <w:spacing w:before="30" w:line="374" w:lineRule="auto"/>
        <w:ind w:left="220" w:right="107"/>
      </w:pPr>
      <w:r>
        <w:t>银山”的发展理念，以碳达峰目标和碳中和愿景为导向，严守生态安</w:t>
      </w:r>
      <w:r>
        <w:rPr>
          <w:spacing w:val="-12"/>
        </w:rPr>
        <w:t>全底线，积极推进绿色勘查，加快绿色矿山建设，将“谁开发谁保护、</w:t>
      </w:r>
      <w:r>
        <w:t>谁破坏谁治理、谁投资谁受益”落到实处，最大限度地降低矿产资源开发对生态环境的负面影响。</w:t>
      </w:r>
    </w:p>
    <w:p w14:paraId="0126274C">
      <w:pPr>
        <w:spacing w:before="0" w:line="454" w:lineRule="exact"/>
        <w:ind w:left="820" w:right="0" w:firstLine="0"/>
        <w:jc w:val="left"/>
        <w:rPr>
          <w:sz w:val="30"/>
        </w:rPr>
      </w:pPr>
      <w:r>
        <w:rPr>
          <w:rFonts w:hint="eastAsia" w:ascii="Microsoft JhengHei" w:eastAsia="Microsoft JhengHei"/>
          <w:b/>
          <w:sz w:val="30"/>
        </w:rPr>
        <w:t>坚持市场配置与宏观调控相结合</w:t>
      </w:r>
      <w:r>
        <w:rPr>
          <w:rFonts w:hint="eastAsia" w:ascii="Microsoft JhengHei"/>
          <w:b/>
          <w:sz w:val="30"/>
          <w:lang w:eastAsia="zh-CN"/>
        </w:rPr>
        <w:t>。</w:t>
      </w:r>
      <w:r>
        <w:rPr>
          <w:sz w:val="30"/>
        </w:rPr>
        <w:t>在国家和各级地方政府政策与</w:t>
      </w:r>
    </w:p>
    <w:p w14:paraId="0BC4681C">
      <w:pPr>
        <w:pStyle w:val="2"/>
        <w:spacing w:before="148" w:line="374" w:lineRule="auto"/>
        <w:ind w:left="220" w:right="258"/>
        <w:jc w:val="both"/>
      </w:pPr>
      <w:r>
        <w:t>相关规划的引导下，充分发挥市场机制在矿产资源配置中的基础性作用，建立宏观调控与市场运作相结合的资源优化配置机制。加强对矿产资源开发总量的调控，提高矿产资源利用率，实现矿业经济的可持续发展。</w:t>
      </w:r>
    </w:p>
    <w:p w14:paraId="73D3966E">
      <w:pPr>
        <w:pStyle w:val="2"/>
        <w:spacing w:before="157"/>
        <w:ind w:right="38"/>
        <w:jc w:val="center"/>
        <w:rPr>
          <w:rFonts w:hint="eastAsia" w:ascii="黑体" w:eastAsia="黑体"/>
        </w:rPr>
      </w:pPr>
      <w:bookmarkStart w:id="16" w:name="第三节 规划目标"/>
      <w:bookmarkEnd w:id="16"/>
      <w:bookmarkStart w:id="17" w:name="_bookmark8"/>
      <w:bookmarkEnd w:id="17"/>
      <w:r>
        <w:rPr>
          <w:rFonts w:hint="eastAsia" w:ascii="黑体" w:eastAsia="黑体"/>
        </w:rPr>
        <w:t>第三节 规划目标</w:t>
      </w:r>
    </w:p>
    <w:p w14:paraId="0FC508B3">
      <w:pPr>
        <w:pStyle w:val="2"/>
        <w:rPr>
          <w:rFonts w:ascii="黑体"/>
          <w:sz w:val="29"/>
        </w:rPr>
      </w:pPr>
    </w:p>
    <w:p w14:paraId="5466C837">
      <w:pPr>
        <w:pStyle w:val="2"/>
        <w:ind w:left="820"/>
        <w:rPr>
          <w:rFonts w:hint="eastAsia" w:ascii="黑体" w:eastAsia="黑体"/>
        </w:rPr>
      </w:pPr>
      <w:r>
        <w:rPr>
          <w:rFonts w:hint="eastAsia" w:ascii="黑体" w:eastAsia="黑体"/>
        </w:rPr>
        <w:t>一、</w:t>
      </w:r>
      <w:r>
        <w:rPr>
          <w:rFonts w:ascii="Times New Roman" w:eastAsia="Times New Roman"/>
        </w:rPr>
        <w:t xml:space="preserve">2025 </w:t>
      </w:r>
      <w:r>
        <w:rPr>
          <w:rFonts w:hint="eastAsia" w:ascii="黑体" w:eastAsia="黑体"/>
        </w:rPr>
        <w:t>年规划目标</w:t>
      </w:r>
    </w:p>
    <w:p w14:paraId="37F9F0CD">
      <w:pPr>
        <w:pStyle w:val="2"/>
        <w:spacing w:before="36" w:line="600" w:lineRule="exact"/>
        <w:ind w:left="220" w:right="258" w:firstLine="600"/>
        <w:jc w:val="both"/>
      </w:pPr>
      <w:r>
        <w:rPr>
          <w:rFonts w:hint="eastAsia" w:ascii="Microsoft JhengHei" w:eastAsia="Microsoft JhengHei"/>
          <w:b/>
        </w:rPr>
        <w:t>矿业经济目标：</w:t>
      </w:r>
      <w:r>
        <w:t>矿产资源节约与综合利用水平显著提升，矿山企业自主创新能力明显增强，形成一批现代化程度更高、综合竞争力更强的优势企业和产业链，矿业产值力争达到</w:t>
      </w:r>
      <w:r>
        <w:rPr>
          <w:rFonts w:ascii="Times New Roman" w:eastAsia="Times New Roman"/>
        </w:rPr>
        <w:t>**</w:t>
      </w:r>
      <w:r>
        <w:t>万元，促进我市矿业经济平稳发展。</w:t>
      </w:r>
    </w:p>
    <w:p w14:paraId="12956A76">
      <w:pPr>
        <w:spacing w:before="0" w:line="600" w:lineRule="exact"/>
        <w:ind w:left="220" w:right="258" w:firstLine="600"/>
        <w:jc w:val="right"/>
        <w:rPr>
          <w:sz w:val="32"/>
        </w:rPr>
      </w:pPr>
      <w:r>
        <w:rPr>
          <w:rFonts w:hint="eastAsia" w:ascii="Microsoft JhengHei" w:eastAsia="Microsoft JhengHei"/>
          <w:b/>
          <w:sz w:val="30"/>
        </w:rPr>
        <w:t>矿产资源勘查目标：</w:t>
      </w:r>
      <w:r>
        <w:rPr>
          <w:sz w:val="30"/>
        </w:rPr>
        <w:t>在我市成矿条件有利、找矿前景良好的区域内，部署落实以地热和矿泉水资源为重点的矿产勘查项目，力争发现可供开发的矿产地，缓解资源瓶颈，大幅提高资源保障和供给能力。</w:t>
      </w:r>
      <w:r>
        <w:rPr>
          <w:rFonts w:hint="eastAsia" w:ascii="Microsoft JhengHei" w:eastAsia="Microsoft JhengHei"/>
          <w:b/>
          <w:sz w:val="30"/>
        </w:rPr>
        <w:t>开发利用与保护目标：</w:t>
      </w:r>
      <w:r>
        <w:rPr>
          <w:sz w:val="32"/>
        </w:rPr>
        <w:t>严格勘查开发准入条件，合理调控开发</w:t>
      </w:r>
    </w:p>
    <w:p w14:paraId="634A307B">
      <w:pPr>
        <w:spacing w:before="160" w:line="369" w:lineRule="auto"/>
        <w:ind w:left="220" w:right="258" w:firstLine="0"/>
        <w:jc w:val="both"/>
        <w:rPr>
          <w:sz w:val="30"/>
        </w:rPr>
      </w:pPr>
      <w:r>
        <w:rPr>
          <w:sz w:val="32"/>
        </w:rPr>
        <w:t>利用强度，科学设置新建矿山最低开采规模，</w:t>
      </w:r>
      <w:r>
        <w:rPr>
          <w:sz w:val="30"/>
        </w:rPr>
        <w:t xml:space="preserve">至 </w:t>
      </w:r>
      <w:r>
        <w:rPr>
          <w:rFonts w:ascii="Times New Roman" w:eastAsia="Times New Roman"/>
          <w:sz w:val="30"/>
        </w:rPr>
        <w:t xml:space="preserve">2025 </w:t>
      </w:r>
      <w:r>
        <w:rPr>
          <w:sz w:val="30"/>
        </w:rPr>
        <w:t>年矿山数量控制在</w:t>
      </w:r>
      <w:r>
        <w:rPr>
          <w:rFonts w:ascii="Times New Roman" w:eastAsia="Times New Roman"/>
          <w:sz w:val="30"/>
        </w:rPr>
        <w:t>**</w:t>
      </w:r>
      <w:r>
        <w:rPr>
          <w:sz w:val="30"/>
        </w:rPr>
        <w:t>个以内，大中型矿山比例维持在</w:t>
      </w:r>
      <w:r>
        <w:rPr>
          <w:rFonts w:ascii="Times New Roman" w:eastAsia="Times New Roman"/>
          <w:sz w:val="30"/>
        </w:rPr>
        <w:t>**%</w:t>
      </w:r>
      <w:r>
        <w:rPr>
          <w:sz w:val="30"/>
        </w:rPr>
        <w:t>，开发利用布局进一步优化。</w:t>
      </w:r>
    </w:p>
    <w:p w14:paraId="751884CC">
      <w:pPr>
        <w:spacing w:before="0" w:line="457" w:lineRule="exact"/>
        <w:ind w:left="820" w:right="0" w:firstLine="0"/>
        <w:jc w:val="left"/>
        <w:rPr>
          <w:sz w:val="30"/>
        </w:rPr>
      </w:pPr>
      <w:r>
        <w:rPr>
          <w:rFonts w:hint="eastAsia" w:ascii="Microsoft JhengHei" w:eastAsia="Microsoft JhengHei"/>
          <w:b/>
          <w:sz w:val="30"/>
        </w:rPr>
        <w:t>绿色矿山建设与矿区生态保护修复目标：</w:t>
      </w:r>
      <w:r>
        <w:rPr>
          <w:sz w:val="30"/>
        </w:rPr>
        <w:t>完善绿色矿山建设相关</w:t>
      </w:r>
    </w:p>
    <w:p w14:paraId="204395FA">
      <w:pPr>
        <w:spacing w:after="0" w:line="457" w:lineRule="exact"/>
        <w:jc w:val="left"/>
        <w:rPr>
          <w:sz w:val="30"/>
        </w:rPr>
        <w:sectPr>
          <w:pgSz w:w="11910" w:h="16840"/>
          <w:pgMar w:top="1240" w:right="1180" w:bottom="1180" w:left="1220" w:header="0" w:footer="993" w:gutter="0"/>
          <w:cols w:space="720" w:num="1"/>
        </w:sectPr>
      </w:pPr>
    </w:p>
    <w:p w14:paraId="3AAA1D6C">
      <w:pPr>
        <w:pStyle w:val="2"/>
        <w:spacing w:before="30" w:line="374" w:lineRule="auto"/>
        <w:ind w:left="220" w:right="107"/>
      </w:pPr>
      <w:r>
        <w:rPr>
          <w:rFonts w:ascii="宋体" w:hAnsi="宋体" w:eastAsia="宋体" w:cs="宋体"/>
          <w:sz w:val="30"/>
          <w:szCs w:val="30"/>
          <w:lang w:val="en-US" w:eastAsia="en-US" w:bidi="ar-SA"/>
        </w:rPr>
        <w:pict>
          <v:shape id="文本框 1027" o:spid="_x0000_s1028" o:spt="202" type="#_x0000_t202" style="position:absolute;left:0pt;margin-left:78.7pt;margin-top:52.4pt;height:152.75pt;width:438.2pt;mso-position-horizontal-relative:pag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tbl>
                  <w:tblPr>
                    <w:tblStyle w:val="3"/>
                    <w:tblW w:w="87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1"/>
                    <w:gridCol w:w="1275"/>
                    <w:gridCol w:w="1843"/>
                    <w:gridCol w:w="1701"/>
                    <w:gridCol w:w="1134"/>
                    <w:gridCol w:w="1185"/>
                  </w:tblGrid>
                  <w:tr w14:paraId="2E537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8749" w:type="dxa"/>
                        <w:gridSpan w:val="6"/>
                        <w:shd w:val="clear" w:color="auto" w:fill="99CCFF"/>
                        <w:vAlign w:val="top"/>
                      </w:tcPr>
                      <w:p w14:paraId="7EC74A23">
                        <w:pPr>
                          <w:pStyle w:val="11"/>
                          <w:tabs>
                            <w:tab w:val="left" w:pos="1028"/>
                          </w:tabs>
                          <w:spacing w:before="75"/>
                          <w:ind w:left="8"/>
                          <w:rPr>
                            <w:sz w:val="24"/>
                          </w:rPr>
                        </w:pPr>
                        <w:r>
                          <w:rPr>
                            <w:sz w:val="24"/>
                          </w:rPr>
                          <w:t>专栏</w:t>
                        </w:r>
                        <w:r>
                          <w:rPr>
                            <w:spacing w:val="-60"/>
                            <w:sz w:val="24"/>
                          </w:rPr>
                          <w:t xml:space="preserve"> </w:t>
                        </w:r>
                        <w:r>
                          <w:rPr>
                            <w:rFonts w:ascii="Times New Roman" w:eastAsia="Times New Roman"/>
                            <w:sz w:val="24"/>
                          </w:rPr>
                          <w:t>3</w:t>
                        </w:r>
                        <w:r>
                          <w:rPr>
                            <w:rFonts w:ascii="Times New Roman" w:eastAsia="Times New Roman"/>
                            <w:sz w:val="24"/>
                          </w:rPr>
                          <w:tab/>
                        </w:r>
                        <w:r>
                          <w:rPr>
                            <w:sz w:val="24"/>
                          </w:rPr>
                          <w:t>规划主要指标</w:t>
                        </w:r>
                      </w:p>
                    </w:tc>
                  </w:tr>
                  <w:tr w14:paraId="5974C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11" w:type="dxa"/>
                        <w:shd w:val="clear" w:color="auto" w:fill="CCFFFF"/>
                        <w:vAlign w:val="top"/>
                      </w:tcPr>
                      <w:p w14:paraId="5466D7D7">
                        <w:pPr>
                          <w:pStyle w:val="11"/>
                          <w:spacing w:before="20"/>
                          <w:ind w:left="154" w:right="147"/>
                          <w:rPr>
                            <w:sz w:val="21"/>
                          </w:rPr>
                        </w:pPr>
                        <w:r>
                          <w:rPr>
                            <w:sz w:val="21"/>
                          </w:rPr>
                          <w:t>类别</w:t>
                        </w:r>
                      </w:p>
                    </w:tc>
                    <w:tc>
                      <w:tcPr>
                        <w:tcW w:w="3118" w:type="dxa"/>
                        <w:gridSpan w:val="2"/>
                        <w:shd w:val="clear" w:color="auto" w:fill="CCFFFF"/>
                        <w:vAlign w:val="top"/>
                      </w:tcPr>
                      <w:p w14:paraId="7F103EB5">
                        <w:pPr>
                          <w:pStyle w:val="11"/>
                          <w:spacing w:before="20"/>
                          <w:ind w:left="1118" w:right="1110"/>
                          <w:rPr>
                            <w:sz w:val="21"/>
                          </w:rPr>
                        </w:pPr>
                        <w:r>
                          <w:rPr>
                            <w:sz w:val="21"/>
                          </w:rPr>
                          <w:t>指标名称</w:t>
                        </w:r>
                      </w:p>
                    </w:tc>
                    <w:tc>
                      <w:tcPr>
                        <w:tcW w:w="1701" w:type="dxa"/>
                        <w:shd w:val="clear" w:color="auto" w:fill="CCFFFF"/>
                        <w:vAlign w:val="top"/>
                      </w:tcPr>
                      <w:p w14:paraId="57A04771">
                        <w:pPr>
                          <w:pStyle w:val="11"/>
                          <w:spacing w:before="20"/>
                          <w:ind w:left="379" w:right="373"/>
                          <w:rPr>
                            <w:sz w:val="21"/>
                          </w:rPr>
                        </w:pPr>
                        <w:r>
                          <w:rPr>
                            <w:sz w:val="21"/>
                          </w:rPr>
                          <w:t>单位</w:t>
                        </w:r>
                      </w:p>
                    </w:tc>
                    <w:tc>
                      <w:tcPr>
                        <w:tcW w:w="1134" w:type="dxa"/>
                        <w:shd w:val="clear" w:color="auto" w:fill="CCFFFF"/>
                        <w:vAlign w:val="top"/>
                      </w:tcPr>
                      <w:p w14:paraId="238919FB">
                        <w:pPr>
                          <w:pStyle w:val="11"/>
                          <w:spacing w:before="20"/>
                          <w:ind w:left="231" w:right="223"/>
                          <w:rPr>
                            <w:sz w:val="21"/>
                          </w:rPr>
                        </w:pPr>
                        <w:r>
                          <w:rPr>
                            <w:sz w:val="21"/>
                          </w:rPr>
                          <w:t>指标值</w:t>
                        </w:r>
                      </w:p>
                    </w:tc>
                    <w:tc>
                      <w:tcPr>
                        <w:tcW w:w="1185" w:type="dxa"/>
                        <w:shd w:val="clear" w:color="auto" w:fill="CCFFFF"/>
                        <w:vAlign w:val="top"/>
                      </w:tcPr>
                      <w:p w14:paraId="7E2934A7">
                        <w:pPr>
                          <w:pStyle w:val="11"/>
                          <w:spacing w:before="20"/>
                          <w:ind w:left="150" w:right="145"/>
                          <w:rPr>
                            <w:sz w:val="21"/>
                          </w:rPr>
                        </w:pPr>
                        <w:r>
                          <w:rPr>
                            <w:sz w:val="21"/>
                          </w:rPr>
                          <w:t>指标属性</w:t>
                        </w:r>
                      </w:p>
                    </w:tc>
                  </w:tr>
                  <w:tr w14:paraId="6EE4E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11" w:type="dxa"/>
                        <w:shd w:val="clear" w:color="auto" w:fill="CCFFFF"/>
                        <w:vAlign w:val="top"/>
                      </w:tcPr>
                      <w:p w14:paraId="1C6BC2B5">
                        <w:pPr>
                          <w:pStyle w:val="11"/>
                          <w:spacing w:before="20"/>
                          <w:ind w:left="154" w:right="147"/>
                          <w:rPr>
                            <w:sz w:val="21"/>
                          </w:rPr>
                        </w:pPr>
                        <w:r>
                          <w:rPr>
                            <w:sz w:val="21"/>
                          </w:rPr>
                          <w:t>矿业经济发展</w:t>
                        </w:r>
                      </w:p>
                    </w:tc>
                    <w:tc>
                      <w:tcPr>
                        <w:tcW w:w="3118" w:type="dxa"/>
                        <w:gridSpan w:val="2"/>
                        <w:shd w:val="clear" w:color="auto" w:fill="CCFFFF"/>
                        <w:vAlign w:val="top"/>
                      </w:tcPr>
                      <w:p w14:paraId="11102C55">
                        <w:pPr>
                          <w:pStyle w:val="11"/>
                          <w:spacing w:before="20"/>
                          <w:ind w:left="1118" w:right="1110"/>
                          <w:rPr>
                            <w:sz w:val="21"/>
                          </w:rPr>
                        </w:pPr>
                        <w:r>
                          <w:rPr>
                            <w:sz w:val="21"/>
                          </w:rPr>
                          <w:t>矿业产值</w:t>
                        </w:r>
                      </w:p>
                    </w:tc>
                    <w:tc>
                      <w:tcPr>
                        <w:tcW w:w="1701" w:type="dxa"/>
                        <w:shd w:val="clear" w:color="auto" w:fill="CCFFFF"/>
                        <w:vAlign w:val="top"/>
                      </w:tcPr>
                      <w:p w14:paraId="0E41D134">
                        <w:pPr>
                          <w:pStyle w:val="11"/>
                          <w:spacing w:before="20"/>
                          <w:ind w:left="379" w:right="373"/>
                          <w:rPr>
                            <w:sz w:val="21"/>
                          </w:rPr>
                        </w:pPr>
                        <w:r>
                          <w:rPr>
                            <w:sz w:val="21"/>
                          </w:rPr>
                          <w:t>万元</w:t>
                        </w:r>
                      </w:p>
                    </w:tc>
                    <w:tc>
                      <w:tcPr>
                        <w:tcW w:w="1134" w:type="dxa"/>
                        <w:shd w:val="clear" w:color="auto" w:fill="CCFFFF"/>
                        <w:vAlign w:val="top"/>
                      </w:tcPr>
                      <w:p w14:paraId="47C7D073">
                        <w:pPr>
                          <w:pStyle w:val="11"/>
                          <w:spacing w:before="34"/>
                          <w:ind w:left="231" w:right="222"/>
                          <w:rPr>
                            <w:rFonts w:ascii="Times New Roman"/>
                            <w:sz w:val="21"/>
                          </w:rPr>
                        </w:pPr>
                        <w:r>
                          <w:rPr>
                            <w:rFonts w:ascii="Times New Roman"/>
                            <w:sz w:val="21"/>
                          </w:rPr>
                          <w:t>**</w:t>
                        </w:r>
                      </w:p>
                    </w:tc>
                    <w:tc>
                      <w:tcPr>
                        <w:tcW w:w="1185" w:type="dxa"/>
                        <w:shd w:val="clear" w:color="auto" w:fill="CCFFFF"/>
                        <w:vAlign w:val="top"/>
                      </w:tcPr>
                      <w:p w14:paraId="758F453F">
                        <w:pPr>
                          <w:pStyle w:val="11"/>
                          <w:spacing w:before="20"/>
                          <w:ind w:left="150" w:right="143"/>
                          <w:rPr>
                            <w:sz w:val="21"/>
                          </w:rPr>
                        </w:pPr>
                        <w:r>
                          <w:rPr>
                            <w:sz w:val="21"/>
                          </w:rPr>
                          <w:t>预期性</w:t>
                        </w:r>
                      </w:p>
                    </w:tc>
                  </w:tr>
                  <w:tr w14:paraId="5E647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11" w:type="dxa"/>
                        <w:vMerge w:val="restart"/>
                        <w:shd w:val="clear" w:color="auto" w:fill="CCFFFF"/>
                        <w:vAlign w:val="top"/>
                      </w:tcPr>
                      <w:p w14:paraId="72F55C46">
                        <w:pPr>
                          <w:pStyle w:val="11"/>
                          <w:spacing w:before="3"/>
                          <w:jc w:val="left"/>
                          <w:rPr>
                            <w:sz w:val="14"/>
                          </w:rPr>
                        </w:pPr>
                      </w:p>
                      <w:p w14:paraId="4AE934B9">
                        <w:pPr>
                          <w:pStyle w:val="11"/>
                          <w:spacing w:before="1"/>
                          <w:ind w:left="175"/>
                          <w:jc w:val="left"/>
                          <w:rPr>
                            <w:sz w:val="21"/>
                          </w:rPr>
                        </w:pPr>
                        <w:r>
                          <w:rPr>
                            <w:sz w:val="21"/>
                          </w:rPr>
                          <w:t>矿产资源勘查</w:t>
                        </w:r>
                      </w:p>
                    </w:tc>
                    <w:tc>
                      <w:tcPr>
                        <w:tcW w:w="3118" w:type="dxa"/>
                        <w:gridSpan w:val="2"/>
                        <w:shd w:val="clear" w:color="auto" w:fill="CCFFFF"/>
                        <w:vAlign w:val="top"/>
                      </w:tcPr>
                      <w:p w14:paraId="35017C7B">
                        <w:pPr>
                          <w:pStyle w:val="11"/>
                          <w:spacing w:before="20"/>
                          <w:ind w:left="613"/>
                          <w:jc w:val="left"/>
                          <w:rPr>
                            <w:sz w:val="21"/>
                          </w:rPr>
                        </w:pPr>
                        <w:r>
                          <w:rPr>
                            <w:sz w:val="21"/>
                          </w:rPr>
                          <w:t>新发现大中型矿产地</w:t>
                        </w:r>
                      </w:p>
                    </w:tc>
                    <w:tc>
                      <w:tcPr>
                        <w:tcW w:w="1701" w:type="dxa"/>
                        <w:shd w:val="clear" w:color="auto" w:fill="CCFFFF"/>
                        <w:vAlign w:val="top"/>
                      </w:tcPr>
                      <w:p w14:paraId="1E59C403">
                        <w:pPr>
                          <w:pStyle w:val="11"/>
                          <w:spacing w:before="20"/>
                          <w:ind w:left="8"/>
                          <w:rPr>
                            <w:sz w:val="21"/>
                          </w:rPr>
                        </w:pPr>
                        <w:r>
                          <w:rPr>
                            <w:w w:val="99"/>
                            <w:sz w:val="21"/>
                          </w:rPr>
                          <w:t>处</w:t>
                        </w:r>
                      </w:p>
                    </w:tc>
                    <w:tc>
                      <w:tcPr>
                        <w:tcW w:w="1134" w:type="dxa"/>
                        <w:shd w:val="clear" w:color="auto" w:fill="CCFFFF"/>
                        <w:vAlign w:val="top"/>
                      </w:tcPr>
                      <w:p w14:paraId="17DE2A2A">
                        <w:pPr>
                          <w:pStyle w:val="11"/>
                          <w:spacing w:before="34"/>
                          <w:ind w:left="231" w:right="222"/>
                          <w:rPr>
                            <w:rFonts w:ascii="Times New Roman"/>
                            <w:sz w:val="21"/>
                          </w:rPr>
                        </w:pPr>
                        <w:r>
                          <w:rPr>
                            <w:rFonts w:ascii="Times New Roman"/>
                            <w:sz w:val="21"/>
                          </w:rPr>
                          <w:t>**</w:t>
                        </w:r>
                      </w:p>
                    </w:tc>
                    <w:tc>
                      <w:tcPr>
                        <w:tcW w:w="1185" w:type="dxa"/>
                        <w:shd w:val="clear" w:color="auto" w:fill="CCFFFF"/>
                        <w:vAlign w:val="top"/>
                      </w:tcPr>
                      <w:p w14:paraId="2A4BABA0">
                        <w:pPr>
                          <w:pStyle w:val="11"/>
                          <w:spacing w:before="20"/>
                          <w:ind w:left="150" w:right="143"/>
                          <w:rPr>
                            <w:sz w:val="21"/>
                          </w:rPr>
                        </w:pPr>
                        <w:r>
                          <w:rPr>
                            <w:sz w:val="21"/>
                          </w:rPr>
                          <w:t>预期性</w:t>
                        </w:r>
                      </w:p>
                    </w:tc>
                  </w:tr>
                  <w:tr w14:paraId="5386F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11" w:type="dxa"/>
                        <w:vMerge w:val="continue"/>
                        <w:tcBorders>
                          <w:top w:val="nil"/>
                        </w:tcBorders>
                        <w:shd w:val="clear" w:color="auto" w:fill="CCFFFF"/>
                        <w:vAlign w:val="top"/>
                      </w:tcPr>
                      <w:p w14:paraId="35BB94A9">
                        <w:pPr>
                          <w:rPr>
                            <w:sz w:val="2"/>
                            <w:szCs w:val="2"/>
                          </w:rPr>
                        </w:pPr>
                      </w:p>
                    </w:tc>
                    <w:tc>
                      <w:tcPr>
                        <w:tcW w:w="1275" w:type="dxa"/>
                        <w:shd w:val="clear" w:color="auto" w:fill="CCFFFF"/>
                        <w:vAlign w:val="top"/>
                      </w:tcPr>
                      <w:p w14:paraId="71829E1A">
                        <w:pPr>
                          <w:pStyle w:val="11"/>
                          <w:spacing w:before="22"/>
                          <w:ind w:left="112"/>
                          <w:jc w:val="left"/>
                          <w:rPr>
                            <w:sz w:val="21"/>
                          </w:rPr>
                        </w:pPr>
                        <w:r>
                          <w:rPr>
                            <w:sz w:val="21"/>
                          </w:rPr>
                          <w:t>新增资源量</w:t>
                        </w:r>
                      </w:p>
                    </w:tc>
                    <w:tc>
                      <w:tcPr>
                        <w:tcW w:w="1843" w:type="dxa"/>
                        <w:shd w:val="clear" w:color="auto" w:fill="CCFFFF"/>
                        <w:vAlign w:val="top"/>
                      </w:tcPr>
                      <w:p w14:paraId="1211F030">
                        <w:pPr>
                          <w:pStyle w:val="11"/>
                          <w:spacing w:before="22"/>
                          <w:ind w:left="479" w:right="472"/>
                          <w:rPr>
                            <w:sz w:val="21"/>
                          </w:rPr>
                        </w:pPr>
                        <w:r>
                          <w:rPr>
                            <w:sz w:val="21"/>
                          </w:rPr>
                          <w:t>矿泉水</w:t>
                        </w:r>
                      </w:p>
                    </w:tc>
                    <w:tc>
                      <w:tcPr>
                        <w:tcW w:w="1701" w:type="dxa"/>
                        <w:shd w:val="clear" w:color="auto" w:fill="CCFFFF"/>
                        <w:vAlign w:val="top"/>
                      </w:tcPr>
                      <w:p w14:paraId="1DCAAA37">
                        <w:pPr>
                          <w:pStyle w:val="11"/>
                          <w:spacing w:before="22"/>
                          <w:ind w:left="379" w:right="373"/>
                          <w:rPr>
                            <w:sz w:val="21"/>
                          </w:rPr>
                        </w:pPr>
                        <w:r>
                          <w:rPr>
                            <w:sz w:val="21"/>
                          </w:rPr>
                          <w:t>立方米</w:t>
                        </w:r>
                        <w:r>
                          <w:rPr>
                            <w:rFonts w:ascii="Times New Roman" w:eastAsia="Times New Roman"/>
                            <w:sz w:val="21"/>
                          </w:rPr>
                          <w:t>/</w:t>
                        </w:r>
                        <w:r>
                          <w:rPr>
                            <w:sz w:val="21"/>
                          </w:rPr>
                          <w:t>日</w:t>
                        </w:r>
                      </w:p>
                    </w:tc>
                    <w:tc>
                      <w:tcPr>
                        <w:tcW w:w="1134" w:type="dxa"/>
                        <w:shd w:val="clear" w:color="auto" w:fill="CCFFFF"/>
                        <w:vAlign w:val="top"/>
                      </w:tcPr>
                      <w:p w14:paraId="6DB8CBDD">
                        <w:pPr>
                          <w:pStyle w:val="11"/>
                          <w:spacing w:before="36"/>
                          <w:ind w:left="231" w:right="222"/>
                          <w:rPr>
                            <w:rFonts w:ascii="Times New Roman"/>
                            <w:sz w:val="21"/>
                          </w:rPr>
                        </w:pPr>
                        <w:r>
                          <w:rPr>
                            <w:rFonts w:ascii="Times New Roman"/>
                            <w:sz w:val="21"/>
                          </w:rPr>
                          <w:t>**</w:t>
                        </w:r>
                      </w:p>
                    </w:tc>
                    <w:tc>
                      <w:tcPr>
                        <w:tcW w:w="1185" w:type="dxa"/>
                        <w:shd w:val="clear" w:color="auto" w:fill="CCFFFF"/>
                        <w:vAlign w:val="top"/>
                      </w:tcPr>
                      <w:p w14:paraId="62AB8DE7">
                        <w:pPr>
                          <w:pStyle w:val="11"/>
                          <w:spacing w:before="22"/>
                          <w:ind w:left="150" w:right="143"/>
                          <w:rPr>
                            <w:sz w:val="21"/>
                          </w:rPr>
                        </w:pPr>
                        <w:r>
                          <w:rPr>
                            <w:sz w:val="21"/>
                          </w:rPr>
                          <w:t>预期性</w:t>
                        </w:r>
                      </w:p>
                    </w:tc>
                  </w:tr>
                  <w:tr w14:paraId="06C0F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11" w:type="dxa"/>
                        <w:vMerge w:val="restart"/>
                        <w:shd w:val="clear" w:color="auto" w:fill="CCFFFF"/>
                        <w:vAlign w:val="top"/>
                      </w:tcPr>
                      <w:p w14:paraId="26FA5275">
                        <w:pPr>
                          <w:pStyle w:val="11"/>
                          <w:spacing w:before="2"/>
                          <w:jc w:val="left"/>
                          <w:rPr>
                            <w:sz w:val="27"/>
                          </w:rPr>
                        </w:pPr>
                      </w:p>
                      <w:p w14:paraId="510ADF09">
                        <w:pPr>
                          <w:pStyle w:val="11"/>
                          <w:spacing w:line="278" w:lineRule="auto"/>
                          <w:ind w:left="280" w:right="166" w:hanging="106"/>
                          <w:jc w:val="left"/>
                          <w:rPr>
                            <w:sz w:val="21"/>
                          </w:rPr>
                        </w:pPr>
                        <w:r>
                          <w:rPr>
                            <w:sz w:val="21"/>
                          </w:rPr>
                          <w:t>矿产资源开发利用与保护</w:t>
                        </w:r>
                      </w:p>
                    </w:tc>
                    <w:tc>
                      <w:tcPr>
                        <w:tcW w:w="1275" w:type="dxa"/>
                        <w:vMerge w:val="restart"/>
                        <w:shd w:val="clear" w:color="auto" w:fill="CCFFFF"/>
                        <w:vAlign w:val="top"/>
                      </w:tcPr>
                      <w:p w14:paraId="7D5CDECB">
                        <w:pPr>
                          <w:pStyle w:val="11"/>
                          <w:spacing w:before="26"/>
                          <w:ind w:left="112"/>
                          <w:jc w:val="left"/>
                          <w:rPr>
                            <w:sz w:val="21"/>
                          </w:rPr>
                        </w:pPr>
                        <w:r>
                          <w:rPr>
                            <w:w w:val="95"/>
                            <w:sz w:val="21"/>
                          </w:rPr>
                          <w:t>重要矿产资</w:t>
                        </w:r>
                      </w:p>
                      <w:p w14:paraId="49CB0A26">
                        <w:pPr>
                          <w:pStyle w:val="11"/>
                          <w:spacing w:before="43"/>
                          <w:ind w:left="112"/>
                          <w:jc w:val="left"/>
                          <w:rPr>
                            <w:sz w:val="21"/>
                          </w:rPr>
                        </w:pPr>
                        <w:r>
                          <w:rPr>
                            <w:w w:val="95"/>
                            <w:sz w:val="21"/>
                          </w:rPr>
                          <w:t>源年开采量</w:t>
                        </w:r>
                      </w:p>
                    </w:tc>
                    <w:tc>
                      <w:tcPr>
                        <w:tcW w:w="1843" w:type="dxa"/>
                        <w:shd w:val="clear" w:color="auto" w:fill="CCFFFF"/>
                        <w:vAlign w:val="top"/>
                      </w:tcPr>
                      <w:p w14:paraId="7386D75C">
                        <w:pPr>
                          <w:pStyle w:val="11"/>
                          <w:spacing w:before="21"/>
                          <w:ind w:left="479" w:right="474"/>
                          <w:rPr>
                            <w:sz w:val="21"/>
                          </w:rPr>
                        </w:pPr>
                        <w:r>
                          <w:rPr>
                            <w:sz w:val="21"/>
                          </w:rPr>
                          <w:t>建筑用砂</w:t>
                        </w:r>
                      </w:p>
                    </w:tc>
                    <w:tc>
                      <w:tcPr>
                        <w:tcW w:w="1701" w:type="dxa"/>
                        <w:shd w:val="clear" w:color="auto" w:fill="CCFFFF"/>
                        <w:vAlign w:val="top"/>
                      </w:tcPr>
                      <w:p w14:paraId="56C3F2FC">
                        <w:pPr>
                          <w:pStyle w:val="11"/>
                          <w:spacing w:before="21"/>
                          <w:ind w:left="379" w:right="373"/>
                          <w:rPr>
                            <w:sz w:val="21"/>
                          </w:rPr>
                        </w:pPr>
                        <w:r>
                          <w:rPr>
                            <w:sz w:val="21"/>
                          </w:rPr>
                          <w:t>万吨</w:t>
                        </w:r>
                      </w:p>
                    </w:tc>
                    <w:tc>
                      <w:tcPr>
                        <w:tcW w:w="1134" w:type="dxa"/>
                        <w:shd w:val="clear" w:color="auto" w:fill="CCFFFF"/>
                        <w:vAlign w:val="top"/>
                      </w:tcPr>
                      <w:p w14:paraId="4AD1CD80">
                        <w:pPr>
                          <w:pStyle w:val="11"/>
                          <w:spacing w:before="35"/>
                          <w:ind w:left="231" w:right="222"/>
                          <w:rPr>
                            <w:rFonts w:ascii="Times New Roman"/>
                            <w:sz w:val="21"/>
                          </w:rPr>
                        </w:pPr>
                        <w:r>
                          <w:rPr>
                            <w:rFonts w:ascii="Times New Roman"/>
                            <w:sz w:val="21"/>
                          </w:rPr>
                          <w:t>**</w:t>
                        </w:r>
                      </w:p>
                    </w:tc>
                    <w:tc>
                      <w:tcPr>
                        <w:tcW w:w="1185" w:type="dxa"/>
                        <w:shd w:val="clear" w:color="auto" w:fill="CCFFFF"/>
                        <w:vAlign w:val="top"/>
                      </w:tcPr>
                      <w:p w14:paraId="7A74E8C3">
                        <w:pPr>
                          <w:pStyle w:val="11"/>
                          <w:spacing w:before="21"/>
                          <w:ind w:left="150" w:right="143"/>
                          <w:rPr>
                            <w:sz w:val="21"/>
                          </w:rPr>
                        </w:pPr>
                        <w:r>
                          <w:rPr>
                            <w:sz w:val="21"/>
                          </w:rPr>
                          <w:t>预期性</w:t>
                        </w:r>
                      </w:p>
                    </w:tc>
                  </w:tr>
                  <w:tr w14:paraId="78D6C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11" w:type="dxa"/>
                        <w:vMerge w:val="continue"/>
                        <w:tcBorders>
                          <w:top w:val="nil"/>
                        </w:tcBorders>
                        <w:shd w:val="clear" w:color="auto" w:fill="CCFFFF"/>
                        <w:vAlign w:val="top"/>
                      </w:tcPr>
                      <w:p w14:paraId="71010DA4">
                        <w:pPr>
                          <w:rPr>
                            <w:sz w:val="2"/>
                            <w:szCs w:val="2"/>
                          </w:rPr>
                        </w:pPr>
                      </w:p>
                    </w:tc>
                    <w:tc>
                      <w:tcPr>
                        <w:tcW w:w="1275" w:type="dxa"/>
                        <w:vMerge w:val="continue"/>
                        <w:tcBorders>
                          <w:top w:val="nil"/>
                        </w:tcBorders>
                        <w:shd w:val="clear" w:color="auto" w:fill="CCFFFF"/>
                        <w:vAlign w:val="top"/>
                      </w:tcPr>
                      <w:p w14:paraId="57ED6B5E">
                        <w:pPr>
                          <w:rPr>
                            <w:sz w:val="2"/>
                            <w:szCs w:val="2"/>
                          </w:rPr>
                        </w:pPr>
                      </w:p>
                    </w:tc>
                    <w:tc>
                      <w:tcPr>
                        <w:tcW w:w="1843" w:type="dxa"/>
                        <w:shd w:val="clear" w:color="auto" w:fill="CCFFFF"/>
                        <w:vAlign w:val="top"/>
                      </w:tcPr>
                      <w:p w14:paraId="605FB621">
                        <w:pPr>
                          <w:pStyle w:val="11"/>
                          <w:spacing w:before="21"/>
                          <w:ind w:left="479" w:right="472"/>
                          <w:rPr>
                            <w:sz w:val="21"/>
                          </w:rPr>
                        </w:pPr>
                        <w:r>
                          <w:rPr>
                            <w:sz w:val="21"/>
                          </w:rPr>
                          <w:t>矿泉水</w:t>
                        </w:r>
                      </w:p>
                    </w:tc>
                    <w:tc>
                      <w:tcPr>
                        <w:tcW w:w="1701" w:type="dxa"/>
                        <w:shd w:val="clear" w:color="auto" w:fill="CCFFFF"/>
                        <w:vAlign w:val="top"/>
                      </w:tcPr>
                      <w:p w14:paraId="5C7F9755">
                        <w:pPr>
                          <w:pStyle w:val="11"/>
                          <w:spacing w:before="21"/>
                          <w:ind w:left="376" w:right="373"/>
                          <w:rPr>
                            <w:sz w:val="21"/>
                          </w:rPr>
                        </w:pPr>
                        <w:r>
                          <w:rPr>
                            <w:sz w:val="21"/>
                          </w:rPr>
                          <w:t>万立方米</w:t>
                        </w:r>
                      </w:p>
                    </w:tc>
                    <w:tc>
                      <w:tcPr>
                        <w:tcW w:w="1134" w:type="dxa"/>
                        <w:shd w:val="clear" w:color="auto" w:fill="CCFFFF"/>
                        <w:vAlign w:val="top"/>
                      </w:tcPr>
                      <w:p w14:paraId="0C83ABC6">
                        <w:pPr>
                          <w:pStyle w:val="11"/>
                          <w:spacing w:before="35"/>
                          <w:ind w:left="231" w:right="222"/>
                          <w:rPr>
                            <w:rFonts w:ascii="Times New Roman"/>
                            <w:sz w:val="21"/>
                          </w:rPr>
                        </w:pPr>
                        <w:r>
                          <w:rPr>
                            <w:rFonts w:ascii="Times New Roman"/>
                            <w:sz w:val="21"/>
                          </w:rPr>
                          <w:t>**</w:t>
                        </w:r>
                      </w:p>
                    </w:tc>
                    <w:tc>
                      <w:tcPr>
                        <w:tcW w:w="1185" w:type="dxa"/>
                        <w:shd w:val="clear" w:color="auto" w:fill="CCFFFF"/>
                        <w:vAlign w:val="top"/>
                      </w:tcPr>
                      <w:p w14:paraId="30B18F6D">
                        <w:pPr>
                          <w:pStyle w:val="11"/>
                          <w:spacing w:before="21"/>
                          <w:ind w:left="150" w:right="143"/>
                          <w:rPr>
                            <w:sz w:val="21"/>
                          </w:rPr>
                        </w:pPr>
                        <w:r>
                          <w:rPr>
                            <w:sz w:val="21"/>
                          </w:rPr>
                          <w:t>预期性</w:t>
                        </w:r>
                      </w:p>
                    </w:tc>
                  </w:tr>
                  <w:tr w14:paraId="1CEBD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11" w:type="dxa"/>
                        <w:vMerge w:val="continue"/>
                        <w:tcBorders>
                          <w:top w:val="nil"/>
                        </w:tcBorders>
                        <w:shd w:val="clear" w:color="auto" w:fill="CCFFFF"/>
                        <w:vAlign w:val="top"/>
                      </w:tcPr>
                      <w:p w14:paraId="3BDD86E2">
                        <w:pPr>
                          <w:rPr>
                            <w:sz w:val="2"/>
                            <w:szCs w:val="2"/>
                          </w:rPr>
                        </w:pPr>
                      </w:p>
                    </w:tc>
                    <w:tc>
                      <w:tcPr>
                        <w:tcW w:w="3118" w:type="dxa"/>
                        <w:gridSpan w:val="2"/>
                        <w:shd w:val="clear" w:color="auto" w:fill="CCFFFF"/>
                        <w:vAlign w:val="top"/>
                      </w:tcPr>
                      <w:p w14:paraId="7DBB2A43">
                        <w:pPr>
                          <w:pStyle w:val="11"/>
                          <w:spacing w:before="21"/>
                          <w:ind w:left="1118" w:right="1110"/>
                          <w:rPr>
                            <w:sz w:val="21"/>
                          </w:rPr>
                        </w:pPr>
                        <w:r>
                          <w:rPr>
                            <w:sz w:val="21"/>
                          </w:rPr>
                          <w:t>矿山数量</w:t>
                        </w:r>
                      </w:p>
                    </w:tc>
                    <w:tc>
                      <w:tcPr>
                        <w:tcW w:w="1701" w:type="dxa"/>
                        <w:shd w:val="clear" w:color="auto" w:fill="CCFFFF"/>
                        <w:vAlign w:val="top"/>
                      </w:tcPr>
                      <w:p w14:paraId="72635BC4">
                        <w:pPr>
                          <w:pStyle w:val="11"/>
                          <w:spacing w:before="21"/>
                          <w:ind w:left="8"/>
                          <w:rPr>
                            <w:sz w:val="21"/>
                          </w:rPr>
                        </w:pPr>
                        <w:r>
                          <w:rPr>
                            <w:w w:val="99"/>
                            <w:sz w:val="21"/>
                          </w:rPr>
                          <w:t>个</w:t>
                        </w:r>
                      </w:p>
                    </w:tc>
                    <w:tc>
                      <w:tcPr>
                        <w:tcW w:w="1134" w:type="dxa"/>
                        <w:shd w:val="clear" w:color="auto" w:fill="CCFFFF"/>
                        <w:vAlign w:val="top"/>
                      </w:tcPr>
                      <w:p w14:paraId="67A34C83">
                        <w:pPr>
                          <w:pStyle w:val="11"/>
                          <w:spacing w:before="34"/>
                          <w:ind w:left="231" w:right="222"/>
                          <w:rPr>
                            <w:rFonts w:ascii="Times New Roman"/>
                            <w:sz w:val="21"/>
                          </w:rPr>
                        </w:pPr>
                        <w:r>
                          <w:rPr>
                            <w:rFonts w:ascii="Times New Roman"/>
                            <w:sz w:val="21"/>
                          </w:rPr>
                          <w:t>**</w:t>
                        </w:r>
                      </w:p>
                    </w:tc>
                    <w:tc>
                      <w:tcPr>
                        <w:tcW w:w="1185" w:type="dxa"/>
                        <w:shd w:val="clear" w:color="auto" w:fill="CCFFFF"/>
                        <w:vAlign w:val="top"/>
                      </w:tcPr>
                      <w:p w14:paraId="1D88EFAE">
                        <w:pPr>
                          <w:pStyle w:val="11"/>
                          <w:spacing w:before="21"/>
                          <w:ind w:left="150" w:right="143"/>
                          <w:rPr>
                            <w:sz w:val="21"/>
                          </w:rPr>
                        </w:pPr>
                        <w:r>
                          <w:rPr>
                            <w:sz w:val="21"/>
                          </w:rPr>
                          <w:t>预期性</w:t>
                        </w:r>
                      </w:p>
                    </w:tc>
                  </w:tr>
                  <w:tr w14:paraId="42889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11" w:type="dxa"/>
                        <w:vMerge w:val="continue"/>
                        <w:tcBorders>
                          <w:top w:val="nil"/>
                        </w:tcBorders>
                        <w:shd w:val="clear" w:color="auto" w:fill="CCFFFF"/>
                        <w:vAlign w:val="top"/>
                      </w:tcPr>
                      <w:p w14:paraId="6E765504">
                        <w:pPr>
                          <w:rPr>
                            <w:sz w:val="2"/>
                            <w:szCs w:val="2"/>
                          </w:rPr>
                        </w:pPr>
                      </w:p>
                    </w:tc>
                    <w:tc>
                      <w:tcPr>
                        <w:tcW w:w="3118" w:type="dxa"/>
                        <w:gridSpan w:val="2"/>
                        <w:shd w:val="clear" w:color="auto" w:fill="CCFFFF"/>
                        <w:vAlign w:val="top"/>
                      </w:tcPr>
                      <w:p w14:paraId="0D31DF3C">
                        <w:pPr>
                          <w:pStyle w:val="11"/>
                          <w:spacing w:before="20"/>
                          <w:ind w:left="822"/>
                          <w:jc w:val="left"/>
                          <w:rPr>
                            <w:sz w:val="21"/>
                          </w:rPr>
                        </w:pPr>
                        <w:r>
                          <w:rPr>
                            <w:sz w:val="21"/>
                          </w:rPr>
                          <w:t>大中型矿山比例</w:t>
                        </w:r>
                      </w:p>
                    </w:tc>
                    <w:tc>
                      <w:tcPr>
                        <w:tcW w:w="1701" w:type="dxa"/>
                        <w:shd w:val="clear" w:color="auto" w:fill="CCFFFF"/>
                        <w:vAlign w:val="top"/>
                      </w:tcPr>
                      <w:p w14:paraId="7D56BF2D">
                        <w:pPr>
                          <w:pStyle w:val="11"/>
                          <w:spacing w:before="34"/>
                          <w:ind w:left="7"/>
                          <w:rPr>
                            <w:rFonts w:ascii="Times New Roman"/>
                            <w:sz w:val="21"/>
                          </w:rPr>
                        </w:pPr>
                        <w:r>
                          <w:rPr>
                            <w:rFonts w:ascii="Times New Roman"/>
                            <w:w w:val="99"/>
                            <w:sz w:val="21"/>
                          </w:rPr>
                          <w:t>%</w:t>
                        </w:r>
                      </w:p>
                    </w:tc>
                    <w:tc>
                      <w:tcPr>
                        <w:tcW w:w="1134" w:type="dxa"/>
                        <w:shd w:val="clear" w:color="auto" w:fill="CCFFFF"/>
                        <w:vAlign w:val="top"/>
                      </w:tcPr>
                      <w:p w14:paraId="657E2190">
                        <w:pPr>
                          <w:pStyle w:val="11"/>
                          <w:spacing w:before="34"/>
                          <w:ind w:left="231" w:right="222"/>
                          <w:rPr>
                            <w:rFonts w:ascii="Times New Roman"/>
                            <w:sz w:val="21"/>
                          </w:rPr>
                        </w:pPr>
                        <w:r>
                          <w:rPr>
                            <w:rFonts w:ascii="Times New Roman"/>
                            <w:sz w:val="21"/>
                          </w:rPr>
                          <w:t>**</w:t>
                        </w:r>
                      </w:p>
                    </w:tc>
                    <w:tc>
                      <w:tcPr>
                        <w:tcW w:w="1185" w:type="dxa"/>
                        <w:shd w:val="clear" w:color="auto" w:fill="CCFFFF"/>
                        <w:vAlign w:val="top"/>
                      </w:tcPr>
                      <w:p w14:paraId="6AA2C09C">
                        <w:pPr>
                          <w:pStyle w:val="11"/>
                          <w:spacing w:before="20"/>
                          <w:ind w:left="150" w:right="143"/>
                          <w:rPr>
                            <w:sz w:val="21"/>
                          </w:rPr>
                        </w:pPr>
                        <w:r>
                          <w:rPr>
                            <w:sz w:val="21"/>
                          </w:rPr>
                          <w:t>预期性</w:t>
                        </w:r>
                      </w:p>
                    </w:tc>
                  </w:tr>
                </w:tbl>
                <w:p w14:paraId="7C725879">
                  <w:pPr>
                    <w:pStyle w:val="2"/>
                  </w:pPr>
                </w:p>
              </w:txbxContent>
            </v:textbox>
          </v:shape>
        </w:pict>
      </w:r>
      <w:r>
        <w:rPr>
          <w:spacing w:val="-13"/>
        </w:rPr>
        <w:t>制度，加快绿色矿山建设进程，提升矿产资源节约集约高效利用水平。</w:t>
      </w:r>
      <w:r>
        <w:t>落实主体责任，加强矿区生态环境修复，推动矿业绿色高质量发展。</w:t>
      </w:r>
    </w:p>
    <w:p w14:paraId="013D7907">
      <w:pPr>
        <w:pStyle w:val="2"/>
      </w:pPr>
    </w:p>
    <w:p w14:paraId="6AF90E6E">
      <w:pPr>
        <w:pStyle w:val="2"/>
      </w:pPr>
    </w:p>
    <w:p w14:paraId="266FAE94">
      <w:pPr>
        <w:pStyle w:val="2"/>
      </w:pPr>
    </w:p>
    <w:p w14:paraId="6E2CC7BF">
      <w:pPr>
        <w:pStyle w:val="2"/>
      </w:pPr>
    </w:p>
    <w:p w14:paraId="13604864">
      <w:pPr>
        <w:pStyle w:val="2"/>
      </w:pPr>
    </w:p>
    <w:p w14:paraId="1BDE72C1">
      <w:pPr>
        <w:pStyle w:val="2"/>
      </w:pPr>
    </w:p>
    <w:p w14:paraId="229BE040">
      <w:pPr>
        <w:pStyle w:val="2"/>
      </w:pPr>
    </w:p>
    <w:p w14:paraId="40931378">
      <w:pPr>
        <w:pStyle w:val="2"/>
        <w:spacing w:before="7"/>
        <w:rPr>
          <w:sz w:val="28"/>
        </w:rPr>
      </w:pPr>
    </w:p>
    <w:p w14:paraId="43E5465E">
      <w:pPr>
        <w:pStyle w:val="2"/>
        <w:ind w:left="820"/>
        <w:rPr>
          <w:rFonts w:hint="eastAsia" w:ascii="黑体" w:eastAsia="黑体"/>
        </w:rPr>
      </w:pPr>
      <w:r>
        <w:rPr>
          <w:rFonts w:hint="eastAsia" w:ascii="黑体" w:eastAsia="黑体"/>
        </w:rPr>
        <w:t>二、</w:t>
      </w:r>
      <w:r>
        <w:rPr>
          <w:rFonts w:ascii="Times New Roman" w:eastAsia="Times New Roman"/>
        </w:rPr>
        <w:t xml:space="preserve">2035 </w:t>
      </w:r>
      <w:r>
        <w:rPr>
          <w:rFonts w:hint="eastAsia" w:ascii="黑体" w:eastAsia="黑体"/>
        </w:rPr>
        <w:t>年规划目标</w:t>
      </w:r>
    </w:p>
    <w:p w14:paraId="5D70485E">
      <w:pPr>
        <w:pStyle w:val="2"/>
        <w:spacing w:before="215" w:line="374" w:lineRule="auto"/>
        <w:ind w:left="220" w:right="258" w:firstLine="600"/>
        <w:jc w:val="both"/>
      </w:pPr>
      <w:r>
        <w:t>矿产资源勘查开发布局更加合理，资源保障程度进一步提高；资源节约集约利用和有效保护水平明显提升，基本实现矿业高质量发展新局面；全面实施绿色勘查、绿色矿山建设，形成绿色、科学、高效的资源保障体系，形成资源效益、经济效益、环境效益、社会效益和谐共赢的矿业格局。</w:t>
      </w:r>
    </w:p>
    <w:p w14:paraId="0816C9A3">
      <w:pPr>
        <w:spacing w:after="0" w:line="374" w:lineRule="auto"/>
        <w:jc w:val="both"/>
        <w:sectPr>
          <w:pgSz w:w="11910" w:h="16840"/>
          <w:pgMar w:top="1240" w:right="1180" w:bottom="1180" w:left="1220" w:header="0" w:footer="993" w:gutter="0"/>
          <w:cols w:space="720" w:num="1"/>
        </w:sectPr>
      </w:pPr>
    </w:p>
    <w:p w14:paraId="11F3E816">
      <w:pPr>
        <w:pStyle w:val="9"/>
        <w:tabs>
          <w:tab w:val="left" w:pos="1439"/>
        </w:tabs>
        <w:ind w:right="38"/>
      </w:pPr>
      <w:bookmarkStart w:id="18" w:name="第三章  矿产资源勘查开发与保护布局"/>
      <w:bookmarkEnd w:id="18"/>
      <w:bookmarkStart w:id="19" w:name="_bookmark9"/>
      <w:bookmarkEnd w:id="19"/>
      <w:r>
        <w:t>第三章</w:t>
      </w:r>
      <w:r>
        <w:tab/>
      </w:r>
      <w:r>
        <w:t>矿产资源勘查开发与保护布局</w:t>
      </w:r>
    </w:p>
    <w:p w14:paraId="79F8F18A">
      <w:pPr>
        <w:pStyle w:val="2"/>
        <w:spacing w:before="275"/>
        <w:ind w:right="38"/>
        <w:jc w:val="center"/>
        <w:rPr>
          <w:rFonts w:hint="eastAsia" w:ascii="黑体" w:eastAsia="黑体"/>
        </w:rPr>
      </w:pPr>
      <w:bookmarkStart w:id="20" w:name="第一节 推进矿产资源勘查开发与环境保护协调发展"/>
      <w:bookmarkEnd w:id="20"/>
      <w:bookmarkStart w:id="21" w:name="_bookmark10"/>
      <w:bookmarkEnd w:id="21"/>
      <w:r>
        <w:rPr>
          <w:rFonts w:hint="eastAsia" w:ascii="黑体" w:eastAsia="黑体"/>
        </w:rPr>
        <w:t>第一节 推进矿产资源勘查开发与环境保护协调发展</w:t>
      </w:r>
    </w:p>
    <w:p w14:paraId="27416ACF">
      <w:pPr>
        <w:pStyle w:val="2"/>
        <w:spacing w:before="192" w:line="600" w:lineRule="exact"/>
        <w:ind w:left="220" w:right="258" w:firstLine="600"/>
        <w:jc w:val="right"/>
      </w:pPr>
      <w:r>
        <w:rPr>
          <w:rFonts w:hint="eastAsia" w:ascii="Microsoft JhengHei" w:hAnsi="Microsoft JhengHei" w:eastAsia="Microsoft JhengHei"/>
          <w:b/>
        </w:rPr>
        <w:t>落实勘查开发保护空间管控要求</w:t>
      </w:r>
      <w:r>
        <w:rPr>
          <w:rFonts w:hint="eastAsia" w:ascii="Microsoft JhengHei" w:hAnsi="Microsoft JhengHei"/>
          <w:b/>
          <w:lang w:eastAsia="zh-CN"/>
        </w:rPr>
        <w:t>。</w:t>
      </w:r>
      <w:r>
        <w:t>严格落实国土空间规划和“三线一单”（生态保护红线、环境质量底线、资源利用上线和生态环境准入清单）生态环境分区管控方案有关要求，统筹处理好资源开发与生态保护的关系，保障资源稳定供应。在严守耕地和永久基本农田、生态保护红线及其他空间控制线，落实节约集约用地要求的前提下， 将衔接核对一致的具体勘查开采规划区块的位置和范围纳入在编的相应地区国土空间规划和国土空间规划“一张图”实施监督信息系统。</w:t>
      </w:r>
      <w:r>
        <w:rPr>
          <w:rFonts w:hint="eastAsia" w:ascii="Microsoft JhengHei" w:hAnsi="Microsoft JhengHei" w:eastAsia="Microsoft JhengHei"/>
          <w:b/>
        </w:rPr>
        <w:t>矿产资源勘查开采方向</w:t>
      </w:r>
      <w:r>
        <w:rPr>
          <w:rFonts w:hint="eastAsia" w:ascii="Microsoft JhengHei" w:hAnsi="Microsoft JhengHei"/>
          <w:b/>
          <w:lang w:eastAsia="zh-CN"/>
        </w:rPr>
        <w:t>。</w:t>
      </w:r>
      <w:r>
        <w:t>根据矿产资源潜力以及勘查开发利用现</w:t>
      </w:r>
    </w:p>
    <w:p w14:paraId="098518AC">
      <w:pPr>
        <w:pStyle w:val="2"/>
        <w:spacing w:before="180" w:line="374" w:lineRule="auto"/>
        <w:ind w:left="220" w:right="107"/>
      </w:pPr>
      <w:r>
        <w:t>状，结合经济建设对矿产资源的需求，规划期内重点落实、布局地热和矿泉水矿产资源勘查；鼓励开采具有一定资源潜力、市场前景好、</w:t>
      </w:r>
      <w:r>
        <w:rPr>
          <w:spacing w:val="-13"/>
        </w:rPr>
        <w:t>经济效益高、开采过程中可有效控制生态环境影响的矿泉水矿产资源。</w:t>
      </w:r>
      <w:r>
        <w:t>限制开采耕地以外的砖瓦用粘土。禁止开采可耕地的砖瓦用粘土。</w:t>
      </w:r>
    </w:p>
    <w:p w14:paraId="1E4E5656">
      <w:pPr>
        <w:pStyle w:val="2"/>
        <w:spacing w:before="157"/>
        <w:ind w:right="38"/>
        <w:jc w:val="center"/>
        <w:rPr>
          <w:rFonts w:hint="eastAsia" w:ascii="黑体" w:eastAsia="黑体"/>
        </w:rPr>
      </w:pPr>
      <w:bookmarkStart w:id="22" w:name="第二节 合理布局矿产资源产业重点发展区域"/>
      <w:bookmarkEnd w:id="22"/>
      <w:bookmarkStart w:id="23" w:name="_bookmark11"/>
      <w:bookmarkEnd w:id="23"/>
      <w:r>
        <w:rPr>
          <w:rFonts w:hint="eastAsia" w:ascii="黑体" w:eastAsia="黑体"/>
        </w:rPr>
        <w:t>第二节 合理布局矿产资源产业重点发展区域</w:t>
      </w:r>
    </w:p>
    <w:p w14:paraId="0FD06E0F">
      <w:pPr>
        <w:pStyle w:val="2"/>
        <w:spacing w:before="192" w:line="600" w:lineRule="exact"/>
        <w:ind w:left="220" w:right="136" w:firstLine="600"/>
        <w:jc w:val="both"/>
      </w:pPr>
      <w:r>
        <w:rPr>
          <w:rFonts w:hint="eastAsia" w:ascii="Microsoft JhengHei" w:hAnsi="Microsoft JhengHei" w:eastAsia="Microsoft JhengHei"/>
          <w:b/>
        </w:rPr>
        <w:t>重点发展区域布局</w:t>
      </w:r>
      <w:r>
        <w:rPr>
          <w:rFonts w:hint="eastAsia" w:ascii="Microsoft JhengHei" w:hAnsi="Microsoft JhengHei"/>
          <w:b/>
          <w:lang w:eastAsia="zh-CN"/>
        </w:rPr>
        <w:t>。</w:t>
      </w:r>
      <w:r>
        <w:t>在我市重要矿产资源分布相对集中、资源潜力大、环境承载力相对较强、开发利用基础条件优越的区域，围绕矿泉水矿产资源，强化矿业开发的规模效应和聚集效应，发挥优势矿产资源对地方经济的辐射带动作用，构建一个矿产资源产业发展的重点区域（专栏</w:t>
      </w:r>
      <w:r>
        <w:rPr>
          <w:rFonts w:ascii="Times New Roman" w:hAnsi="Times New Roman" w:eastAsia="Times New Roman"/>
        </w:rPr>
        <w:t>4</w:t>
      </w:r>
      <w:r>
        <w:t>），即大房身—大青咀镇矿泉水资源产业重点发展区域。</w:t>
      </w:r>
    </w:p>
    <w:p w14:paraId="058FD788">
      <w:pPr>
        <w:spacing w:after="0" w:line="600" w:lineRule="exact"/>
        <w:jc w:val="both"/>
        <w:sectPr>
          <w:pgSz w:w="11910" w:h="16840"/>
          <w:pgMar w:top="1260" w:right="1180" w:bottom="1180" w:left="1220" w:header="0" w:footer="993" w:gutter="0"/>
          <w:cols w:space="720" w:num="1"/>
        </w:sectPr>
      </w:pPr>
    </w:p>
    <w:tbl>
      <w:tblPr>
        <w:tblStyle w:val="3"/>
        <w:tblW w:w="8748" w:type="dxa"/>
        <w:tblInd w:w="3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968"/>
        <w:gridCol w:w="1942"/>
        <w:gridCol w:w="2323"/>
        <w:gridCol w:w="1751"/>
      </w:tblGrid>
      <w:tr w14:paraId="52410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8748" w:type="dxa"/>
            <w:gridSpan w:val="5"/>
            <w:shd w:val="clear" w:color="auto" w:fill="99CCFF"/>
            <w:vAlign w:val="top"/>
          </w:tcPr>
          <w:p w14:paraId="0194E163">
            <w:pPr>
              <w:pStyle w:val="11"/>
              <w:tabs>
                <w:tab w:val="left" w:pos="1029"/>
              </w:tabs>
              <w:spacing w:before="75"/>
              <w:ind w:left="9"/>
              <w:rPr>
                <w:sz w:val="24"/>
              </w:rPr>
            </w:pPr>
            <w:r>
              <w:rPr>
                <w:sz w:val="24"/>
              </w:rPr>
              <w:t>专栏</w:t>
            </w:r>
            <w:r>
              <w:rPr>
                <w:spacing w:val="-60"/>
                <w:sz w:val="24"/>
              </w:rPr>
              <w:t xml:space="preserve"> </w:t>
            </w:r>
            <w:r>
              <w:rPr>
                <w:rFonts w:ascii="Times New Roman" w:eastAsia="Times New Roman"/>
                <w:sz w:val="24"/>
              </w:rPr>
              <w:t>4</w:t>
            </w:r>
            <w:r>
              <w:rPr>
                <w:rFonts w:ascii="Times New Roman" w:eastAsia="Times New Roman"/>
                <w:sz w:val="24"/>
              </w:rPr>
              <w:tab/>
            </w:r>
            <w:r>
              <w:rPr>
                <w:sz w:val="24"/>
              </w:rPr>
              <w:t>矿产资源产业重点发展区</w:t>
            </w:r>
          </w:p>
        </w:tc>
      </w:tr>
      <w:tr w14:paraId="29498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64" w:type="dxa"/>
            <w:shd w:val="clear" w:color="auto" w:fill="CCFFFF"/>
            <w:vAlign w:val="top"/>
          </w:tcPr>
          <w:p w14:paraId="277DADB7">
            <w:pPr>
              <w:pStyle w:val="11"/>
              <w:spacing w:before="30"/>
              <w:ind w:left="151" w:right="142"/>
              <w:rPr>
                <w:sz w:val="21"/>
              </w:rPr>
            </w:pPr>
            <w:r>
              <w:rPr>
                <w:sz w:val="21"/>
              </w:rPr>
              <w:t>序号</w:t>
            </w:r>
          </w:p>
        </w:tc>
        <w:tc>
          <w:tcPr>
            <w:tcW w:w="1968" w:type="dxa"/>
            <w:shd w:val="clear" w:color="auto" w:fill="CCFFFF"/>
            <w:vAlign w:val="top"/>
          </w:tcPr>
          <w:p w14:paraId="1E8E2738">
            <w:pPr>
              <w:pStyle w:val="11"/>
              <w:spacing w:before="30"/>
              <w:ind w:left="753" w:right="745"/>
              <w:rPr>
                <w:sz w:val="21"/>
              </w:rPr>
            </w:pPr>
            <w:r>
              <w:rPr>
                <w:sz w:val="21"/>
              </w:rPr>
              <w:t>名称</w:t>
            </w:r>
          </w:p>
        </w:tc>
        <w:tc>
          <w:tcPr>
            <w:tcW w:w="1942" w:type="dxa"/>
            <w:shd w:val="clear" w:color="auto" w:fill="CCFFFF"/>
            <w:vAlign w:val="top"/>
          </w:tcPr>
          <w:p w14:paraId="5DBE91C5">
            <w:pPr>
              <w:pStyle w:val="11"/>
              <w:spacing w:before="30"/>
              <w:ind w:left="445"/>
              <w:jc w:val="left"/>
              <w:rPr>
                <w:sz w:val="21"/>
              </w:rPr>
            </w:pPr>
            <w:r>
              <w:rPr>
                <w:sz w:val="21"/>
              </w:rPr>
              <w:t>所在行政区</w:t>
            </w:r>
          </w:p>
        </w:tc>
        <w:tc>
          <w:tcPr>
            <w:tcW w:w="2323" w:type="dxa"/>
            <w:shd w:val="clear" w:color="auto" w:fill="CCFFFF"/>
            <w:vAlign w:val="top"/>
          </w:tcPr>
          <w:p w14:paraId="0D4316BE">
            <w:pPr>
              <w:pStyle w:val="11"/>
              <w:spacing w:before="30"/>
              <w:ind w:left="425"/>
              <w:jc w:val="left"/>
              <w:rPr>
                <w:sz w:val="21"/>
              </w:rPr>
            </w:pPr>
            <w:r>
              <w:rPr>
                <w:sz w:val="21"/>
              </w:rPr>
              <w:t>已设重点开采区</w:t>
            </w:r>
          </w:p>
        </w:tc>
        <w:tc>
          <w:tcPr>
            <w:tcW w:w="1751" w:type="dxa"/>
            <w:shd w:val="clear" w:color="auto" w:fill="CCFFFF"/>
            <w:vAlign w:val="top"/>
          </w:tcPr>
          <w:p w14:paraId="7D55E74D">
            <w:pPr>
              <w:pStyle w:val="11"/>
              <w:spacing w:before="30"/>
              <w:ind w:left="328" w:right="322"/>
              <w:rPr>
                <w:sz w:val="21"/>
              </w:rPr>
            </w:pPr>
            <w:r>
              <w:rPr>
                <w:sz w:val="21"/>
              </w:rPr>
              <w:t>已设采矿权</w:t>
            </w:r>
          </w:p>
        </w:tc>
      </w:tr>
      <w:tr w14:paraId="26202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5" w:hRule="atLeast"/>
        </w:trPr>
        <w:tc>
          <w:tcPr>
            <w:tcW w:w="764" w:type="dxa"/>
            <w:shd w:val="clear" w:color="auto" w:fill="CCFFFF"/>
            <w:vAlign w:val="top"/>
          </w:tcPr>
          <w:p w14:paraId="59859D13">
            <w:pPr>
              <w:pStyle w:val="11"/>
              <w:jc w:val="left"/>
              <w:rPr>
                <w:sz w:val="22"/>
              </w:rPr>
            </w:pPr>
          </w:p>
          <w:p w14:paraId="1F5232A0">
            <w:pPr>
              <w:pStyle w:val="11"/>
              <w:spacing w:before="8"/>
              <w:jc w:val="left"/>
              <w:rPr>
                <w:sz w:val="20"/>
              </w:rPr>
            </w:pPr>
          </w:p>
          <w:p w14:paraId="3A050EE1">
            <w:pPr>
              <w:pStyle w:val="11"/>
              <w:ind w:left="8"/>
              <w:rPr>
                <w:rFonts w:ascii="Times New Roman"/>
                <w:sz w:val="21"/>
              </w:rPr>
            </w:pPr>
            <w:r>
              <w:rPr>
                <w:rFonts w:ascii="Times New Roman"/>
                <w:w w:val="99"/>
                <w:sz w:val="21"/>
              </w:rPr>
              <w:t>1</w:t>
            </w:r>
          </w:p>
        </w:tc>
        <w:tc>
          <w:tcPr>
            <w:tcW w:w="1968" w:type="dxa"/>
            <w:shd w:val="clear" w:color="auto" w:fill="CCFFFF"/>
            <w:vAlign w:val="top"/>
          </w:tcPr>
          <w:p w14:paraId="2BB51B10">
            <w:pPr>
              <w:pStyle w:val="11"/>
              <w:spacing w:before="2"/>
              <w:jc w:val="left"/>
              <w:rPr>
                <w:sz w:val="17"/>
              </w:rPr>
            </w:pPr>
          </w:p>
          <w:p w14:paraId="14BA2BAC">
            <w:pPr>
              <w:pStyle w:val="11"/>
              <w:spacing w:before="1" w:line="278" w:lineRule="auto"/>
              <w:ind w:left="143" w:right="132" w:hanging="3"/>
              <w:rPr>
                <w:sz w:val="21"/>
              </w:rPr>
            </w:pPr>
            <w:r>
              <w:rPr>
                <w:w w:val="95"/>
                <w:sz w:val="21"/>
              </w:rPr>
              <w:t>大房身—大青咀镇</w:t>
            </w:r>
            <w:r>
              <w:rPr>
                <w:sz w:val="21"/>
              </w:rPr>
              <w:t>矿泉水资源产业重点发展区域</w:t>
            </w:r>
          </w:p>
        </w:tc>
        <w:tc>
          <w:tcPr>
            <w:tcW w:w="1942" w:type="dxa"/>
            <w:shd w:val="clear" w:color="auto" w:fill="CCFFFF"/>
            <w:vAlign w:val="top"/>
          </w:tcPr>
          <w:p w14:paraId="57BE1688">
            <w:pPr>
              <w:pStyle w:val="11"/>
              <w:spacing w:before="5"/>
              <w:jc w:val="left"/>
              <w:rPr>
                <w:sz w:val="29"/>
              </w:rPr>
            </w:pPr>
          </w:p>
          <w:p w14:paraId="4A234838">
            <w:pPr>
              <w:pStyle w:val="11"/>
              <w:spacing w:line="278" w:lineRule="auto"/>
              <w:ind w:left="865" w:right="121" w:hanging="735"/>
              <w:jc w:val="left"/>
              <w:rPr>
                <w:sz w:val="21"/>
              </w:rPr>
            </w:pPr>
            <w:r>
              <w:rPr>
                <w:sz w:val="21"/>
              </w:rPr>
              <w:t>大房身镇、大青咀镇</w:t>
            </w:r>
          </w:p>
        </w:tc>
        <w:tc>
          <w:tcPr>
            <w:tcW w:w="2323" w:type="dxa"/>
            <w:shd w:val="clear" w:color="auto" w:fill="CCFFFF"/>
            <w:vAlign w:val="top"/>
          </w:tcPr>
          <w:p w14:paraId="4AB98D25">
            <w:pPr>
              <w:pStyle w:val="11"/>
              <w:spacing w:before="5"/>
              <w:jc w:val="left"/>
              <w:rPr>
                <w:sz w:val="29"/>
              </w:rPr>
            </w:pPr>
          </w:p>
          <w:p w14:paraId="239A6F34">
            <w:pPr>
              <w:pStyle w:val="11"/>
              <w:spacing w:line="278" w:lineRule="auto"/>
              <w:ind w:left="320" w:right="101" w:hanging="209"/>
              <w:jc w:val="left"/>
              <w:rPr>
                <w:sz w:val="21"/>
              </w:rPr>
            </w:pPr>
            <w:r>
              <w:rPr>
                <w:sz w:val="21"/>
              </w:rPr>
              <w:t>大房身—大青咀镇矿泉水资源重点开采区</w:t>
            </w:r>
          </w:p>
        </w:tc>
        <w:tc>
          <w:tcPr>
            <w:tcW w:w="1751" w:type="dxa"/>
            <w:shd w:val="clear" w:color="auto" w:fill="CCFFFF"/>
            <w:vAlign w:val="top"/>
          </w:tcPr>
          <w:p w14:paraId="0A205258">
            <w:pPr>
              <w:pStyle w:val="11"/>
              <w:jc w:val="left"/>
              <w:rPr>
                <w:sz w:val="22"/>
              </w:rPr>
            </w:pPr>
          </w:p>
          <w:p w14:paraId="08F2C4B4">
            <w:pPr>
              <w:pStyle w:val="11"/>
              <w:spacing w:before="7"/>
              <w:jc w:val="left"/>
              <w:rPr>
                <w:sz w:val="19"/>
              </w:rPr>
            </w:pPr>
          </w:p>
          <w:p w14:paraId="6F1B21A8">
            <w:pPr>
              <w:pStyle w:val="11"/>
              <w:ind w:left="328" w:right="321"/>
              <w:rPr>
                <w:rFonts w:ascii="Times New Roman" w:eastAsia="Times New Roman"/>
                <w:sz w:val="21"/>
              </w:rPr>
            </w:pPr>
            <w:r>
              <w:rPr>
                <w:sz w:val="21"/>
              </w:rPr>
              <w:t>矿泉水：</w:t>
            </w:r>
            <w:r>
              <w:rPr>
                <w:rFonts w:ascii="Times New Roman" w:eastAsia="Times New Roman"/>
                <w:sz w:val="21"/>
              </w:rPr>
              <w:t>2</w:t>
            </w:r>
          </w:p>
        </w:tc>
      </w:tr>
    </w:tbl>
    <w:p w14:paraId="2F63F005">
      <w:pPr>
        <w:pStyle w:val="2"/>
        <w:spacing w:before="3"/>
        <w:rPr>
          <w:sz w:val="10"/>
        </w:rPr>
      </w:pPr>
    </w:p>
    <w:p w14:paraId="641F1B56">
      <w:pPr>
        <w:spacing w:before="0" w:line="511" w:lineRule="exact"/>
        <w:ind w:left="820" w:right="0" w:firstLine="0"/>
        <w:jc w:val="left"/>
        <w:rPr>
          <w:sz w:val="30"/>
        </w:rPr>
      </w:pPr>
      <w:r>
        <w:rPr>
          <w:rFonts w:hint="eastAsia" w:ascii="Microsoft JhengHei" w:eastAsia="Microsoft JhengHei"/>
          <w:b/>
          <w:sz w:val="30"/>
        </w:rPr>
        <w:t>重点发展区域管理措施</w:t>
      </w:r>
      <w:r>
        <w:rPr>
          <w:rFonts w:hint="eastAsia" w:ascii="Microsoft JhengHei"/>
          <w:b/>
          <w:sz w:val="30"/>
          <w:lang w:eastAsia="zh-CN"/>
        </w:rPr>
        <w:t>。</w:t>
      </w:r>
      <w:r>
        <w:rPr>
          <w:sz w:val="30"/>
        </w:rPr>
        <w:t>加大对矿产资源产业重点发展区域内矿</w:t>
      </w:r>
    </w:p>
    <w:p w14:paraId="6AFF7139">
      <w:pPr>
        <w:pStyle w:val="2"/>
        <w:spacing w:before="147" w:line="374" w:lineRule="auto"/>
        <w:ind w:left="220" w:right="107"/>
      </w:pPr>
      <w:r>
        <w:t>产资源开发的支持力度。鼓励矿山企业积极开展研发和技术改造，提</w:t>
      </w:r>
      <w:r>
        <w:rPr>
          <w:spacing w:val="-13"/>
        </w:rPr>
        <w:t>高开采技术水平，将资源保护和节约集约意识贯穿于矿产开发的始终。</w:t>
      </w:r>
      <w:r>
        <w:t>通过优化矿山规模结构和产品结构、延长产业链，提高区域内资源利用效率，促进资源优势转化为经济优势。</w:t>
      </w:r>
    </w:p>
    <w:p w14:paraId="63F7B274">
      <w:pPr>
        <w:pStyle w:val="2"/>
        <w:spacing w:before="158"/>
        <w:ind w:right="38"/>
        <w:jc w:val="center"/>
        <w:rPr>
          <w:rFonts w:hint="eastAsia" w:ascii="黑体" w:eastAsia="黑体"/>
        </w:rPr>
      </w:pPr>
      <w:bookmarkStart w:id="24" w:name="第三节 优化勘查开采与保护布局"/>
      <w:bookmarkEnd w:id="24"/>
      <w:bookmarkStart w:id="25" w:name="_bookmark12"/>
      <w:bookmarkEnd w:id="25"/>
      <w:r>
        <w:rPr>
          <w:rFonts w:hint="eastAsia" w:ascii="黑体" w:eastAsia="黑体"/>
        </w:rPr>
        <w:t>第三节 优化勘查开采与保护布局</w:t>
      </w:r>
    </w:p>
    <w:p w14:paraId="5412D102">
      <w:pPr>
        <w:pStyle w:val="2"/>
        <w:spacing w:before="12"/>
        <w:rPr>
          <w:rFonts w:ascii="黑体"/>
          <w:sz w:val="28"/>
        </w:rPr>
      </w:pPr>
    </w:p>
    <w:p w14:paraId="413A1C0E">
      <w:pPr>
        <w:pStyle w:val="2"/>
        <w:spacing w:line="374" w:lineRule="auto"/>
        <w:ind w:left="220" w:right="258" w:firstLine="600"/>
        <w:jc w:val="both"/>
      </w:pPr>
      <w:r>
        <w:t>为正确引导矿产资源勘查开发活动，有效促进资源合理配置，在落实省、市规划和上述分区域管理思路基础上，进一步划定矿产资源重点勘查区和重点开采区等矿产资源勘查开发利用重点区域，作为各级财政资金投入和相关政策支持的重点区域。同时明确我市砂石土矿集中开采区的具体划定和管控措施。</w:t>
      </w:r>
    </w:p>
    <w:p w14:paraId="7589D7D0">
      <w:pPr>
        <w:pStyle w:val="2"/>
        <w:spacing w:before="2"/>
        <w:ind w:left="820"/>
        <w:rPr>
          <w:rFonts w:hint="eastAsia" w:ascii="黑体" w:eastAsia="黑体"/>
        </w:rPr>
      </w:pPr>
      <w:r>
        <w:rPr>
          <w:rFonts w:hint="eastAsia" w:ascii="黑体" w:eastAsia="黑体"/>
        </w:rPr>
        <w:t>一、重点勘查区</w:t>
      </w:r>
    </w:p>
    <w:p w14:paraId="24D257FD">
      <w:pPr>
        <w:pStyle w:val="2"/>
        <w:spacing w:before="36" w:line="600" w:lineRule="exact"/>
        <w:ind w:left="220" w:right="107" w:firstLine="600"/>
        <w:jc w:val="both"/>
      </w:pPr>
      <w:r>
        <w:rPr>
          <w:rFonts w:hint="eastAsia" w:ascii="Microsoft JhengHei" w:eastAsia="Microsoft JhengHei"/>
          <w:b/>
        </w:rPr>
        <w:t>重点勘查区布局</w:t>
      </w:r>
      <w:r>
        <w:rPr>
          <w:rFonts w:hint="eastAsia" w:ascii="Microsoft JhengHei"/>
          <w:b/>
          <w:lang w:eastAsia="zh-CN"/>
        </w:rPr>
        <w:t>。</w:t>
      </w:r>
      <w:r>
        <w:t xml:space="preserve">为合理部署矿产资源勘查工作，指导探矿权设置，根据矿产资源供需关系、国家产业政策及资源环境承载能力等， </w:t>
      </w:r>
      <w:r>
        <w:rPr>
          <w:spacing w:val="-10"/>
        </w:rPr>
        <w:t>围绕地热，按照市规划统一部署，落实划分</w:t>
      </w:r>
      <w:r>
        <w:rPr>
          <w:rFonts w:ascii="Times New Roman" w:eastAsia="Times New Roman"/>
          <w:spacing w:val="-2"/>
          <w:w w:val="99"/>
          <w:sz w:val="21"/>
        </w:rPr>
        <w:t>*</w:t>
      </w:r>
      <w:r>
        <w:rPr>
          <w:rFonts w:ascii="Times New Roman" w:eastAsia="Times New Roman"/>
          <w:spacing w:val="1"/>
          <w:w w:val="99"/>
          <w:sz w:val="21"/>
        </w:rPr>
        <w:t>*</w:t>
      </w:r>
      <w:r>
        <w:rPr>
          <w:spacing w:val="-8"/>
        </w:rPr>
        <w:t>个重点勘查区</w:t>
      </w:r>
      <w:r>
        <w:t>（</w:t>
      </w:r>
      <w:r>
        <w:rPr>
          <w:spacing w:val="-26"/>
        </w:rPr>
        <w:t xml:space="preserve">专栏 </w:t>
      </w:r>
      <w:r>
        <w:rPr>
          <w:rFonts w:ascii="Times New Roman" w:eastAsia="Times New Roman"/>
          <w:spacing w:val="1"/>
        </w:rPr>
        <w:t>5</w:t>
      </w:r>
      <w:r>
        <w:rPr>
          <w:spacing w:val="-120"/>
        </w:rPr>
        <w:t>）</w:t>
      </w:r>
      <w:r>
        <w:rPr>
          <w:spacing w:val="-15"/>
        </w:rPr>
        <w:t>。</w:t>
      </w:r>
    </w:p>
    <w:p w14:paraId="6AF71830">
      <w:pPr>
        <w:pStyle w:val="2"/>
        <w:rPr>
          <w:sz w:val="20"/>
        </w:rPr>
      </w:pPr>
    </w:p>
    <w:p w14:paraId="3FD71169">
      <w:pPr>
        <w:pStyle w:val="2"/>
        <w:spacing w:before="10" w:after="1"/>
        <w:rPr>
          <w:sz w:val="26"/>
        </w:rPr>
      </w:pPr>
    </w:p>
    <w:tbl>
      <w:tblPr>
        <w:tblStyle w:val="3"/>
        <w:tblW w:w="8749" w:type="dxa"/>
        <w:tblInd w:w="3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9"/>
        <w:gridCol w:w="3148"/>
        <w:gridCol w:w="1801"/>
        <w:gridCol w:w="3071"/>
      </w:tblGrid>
      <w:tr w14:paraId="6545C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8749" w:type="dxa"/>
            <w:gridSpan w:val="4"/>
            <w:shd w:val="clear" w:color="auto" w:fill="99CCFF"/>
            <w:vAlign w:val="top"/>
          </w:tcPr>
          <w:p w14:paraId="698D1529">
            <w:pPr>
              <w:pStyle w:val="11"/>
              <w:tabs>
                <w:tab w:val="left" w:pos="1028"/>
              </w:tabs>
              <w:spacing w:before="64"/>
              <w:ind w:left="8"/>
              <w:rPr>
                <w:sz w:val="24"/>
              </w:rPr>
            </w:pPr>
            <w:r>
              <w:rPr>
                <w:sz w:val="24"/>
              </w:rPr>
              <w:t>专栏</w:t>
            </w:r>
            <w:r>
              <w:rPr>
                <w:spacing w:val="-60"/>
                <w:sz w:val="24"/>
              </w:rPr>
              <w:t xml:space="preserve"> </w:t>
            </w:r>
            <w:r>
              <w:rPr>
                <w:rFonts w:ascii="Times New Roman" w:eastAsia="Times New Roman"/>
                <w:sz w:val="24"/>
              </w:rPr>
              <w:t>5</w:t>
            </w:r>
            <w:r>
              <w:rPr>
                <w:rFonts w:ascii="Times New Roman" w:eastAsia="Times New Roman"/>
                <w:sz w:val="24"/>
              </w:rPr>
              <w:tab/>
            </w:r>
            <w:r>
              <w:rPr>
                <w:sz w:val="24"/>
              </w:rPr>
              <w:t>矿产资源重点勘查区</w:t>
            </w:r>
          </w:p>
        </w:tc>
      </w:tr>
      <w:tr w14:paraId="67B76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29" w:type="dxa"/>
            <w:shd w:val="clear" w:color="auto" w:fill="CCFFFF"/>
            <w:vAlign w:val="top"/>
          </w:tcPr>
          <w:p w14:paraId="0CA10BEF">
            <w:pPr>
              <w:pStyle w:val="11"/>
              <w:spacing w:before="24"/>
              <w:ind w:left="132" w:right="127"/>
              <w:rPr>
                <w:sz w:val="21"/>
              </w:rPr>
            </w:pPr>
            <w:r>
              <w:rPr>
                <w:sz w:val="21"/>
              </w:rPr>
              <w:t>序号</w:t>
            </w:r>
          </w:p>
        </w:tc>
        <w:tc>
          <w:tcPr>
            <w:tcW w:w="3148" w:type="dxa"/>
            <w:shd w:val="clear" w:color="auto" w:fill="CCFFFF"/>
            <w:vAlign w:val="top"/>
          </w:tcPr>
          <w:p w14:paraId="60C8ABF3">
            <w:pPr>
              <w:pStyle w:val="11"/>
              <w:spacing w:before="24"/>
              <w:ind w:left="292" w:right="285"/>
              <w:rPr>
                <w:sz w:val="21"/>
              </w:rPr>
            </w:pPr>
            <w:r>
              <w:rPr>
                <w:sz w:val="21"/>
              </w:rPr>
              <w:t>名称</w:t>
            </w:r>
          </w:p>
        </w:tc>
        <w:tc>
          <w:tcPr>
            <w:tcW w:w="1801" w:type="dxa"/>
            <w:shd w:val="clear" w:color="auto" w:fill="CCFFFF"/>
            <w:vAlign w:val="top"/>
          </w:tcPr>
          <w:p w14:paraId="2FDFAE4B">
            <w:pPr>
              <w:pStyle w:val="11"/>
              <w:spacing w:before="24"/>
              <w:ind w:left="106"/>
              <w:jc w:val="left"/>
              <w:rPr>
                <w:sz w:val="21"/>
              </w:rPr>
            </w:pPr>
            <w:r>
              <w:rPr>
                <w:sz w:val="21"/>
              </w:rPr>
              <w:t>面积（平方公里）</w:t>
            </w:r>
          </w:p>
        </w:tc>
        <w:tc>
          <w:tcPr>
            <w:tcW w:w="3071" w:type="dxa"/>
            <w:shd w:val="clear" w:color="auto" w:fill="CCFFFF"/>
            <w:vAlign w:val="top"/>
          </w:tcPr>
          <w:p w14:paraId="7E285B0A">
            <w:pPr>
              <w:pStyle w:val="11"/>
              <w:spacing w:before="24"/>
              <w:ind w:left="170"/>
              <w:jc w:val="left"/>
              <w:rPr>
                <w:sz w:val="21"/>
              </w:rPr>
            </w:pPr>
            <w:r>
              <w:rPr>
                <w:sz w:val="21"/>
              </w:rPr>
              <w:t>隶属的省、市规划重点勘查区</w:t>
            </w:r>
          </w:p>
        </w:tc>
      </w:tr>
      <w:tr w14:paraId="3BE67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729" w:type="dxa"/>
            <w:shd w:val="clear" w:color="auto" w:fill="CCFFFF"/>
            <w:vAlign w:val="top"/>
          </w:tcPr>
          <w:p w14:paraId="477A2709">
            <w:pPr>
              <w:pStyle w:val="11"/>
              <w:spacing w:before="3"/>
              <w:jc w:val="left"/>
              <w:rPr>
                <w:sz w:val="16"/>
              </w:rPr>
            </w:pPr>
          </w:p>
          <w:p w14:paraId="2282DB68">
            <w:pPr>
              <w:pStyle w:val="11"/>
              <w:spacing w:before="1"/>
              <w:ind w:left="9"/>
              <w:rPr>
                <w:rFonts w:ascii="Times New Roman"/>
                <w:sz w:val="21"/>
              </w:rPr>
            </w:pPr>
            <w:r>
              <w:rPr>
                <w:rFonts w:ascii="Times New Roman"/>
                <w:w w:val="99"/>
                <w:sz w:val="21"/>
              </w:rPr>
              <w:t>1</w:t>
            </w:r>
          </w:p>
        </w:tc>
        <w:tc>
          <w:tcPr>
            <w:tcW w:w="3148" w:type="dxa"/>
            <w:shd w:val="clear" w:color="auto" w:fill="CCFFFF"/>
            <w:vAlign w:val="top"/>
          </w:tcPr>
          <w:p w14:paraId="5F2D0CFA">
            <w:pPr>
              <w:pStyle w:val="11"/>
              <w:spacing w:before="58"/>
              <w:ind w:left="292" w:right="285"/>
              <w:rPr>
                <w:sz w:val="21"/>
              </w:rPr>
            </w:pPr>
            <w:r>
              <w:rPr>
                <w:sz w:val="21"/>
              </w:rPr>
              <w:t>米沙子地热资源重点勘查区</w:t>
            </w:r>
          </w:p>
          <w:p w14:paraId="30E96B82">
            <w:pPr>
              <w:pStyle w:val="11"/>
              <w:spacing w:before="4"/>
              <w:ind w:left="292" w:right="285"/>
              <w:rPr>
                <w:sz w:val="21"/>
              </w:rPr>
            </w:pPr>
            <w:r>
              <w:rPr>
                <w:sz w:val="21"/>
              </w:rPr>
              <w:t>（一）</w:t>
            </w:r>
          </w:p>
        </w:tc>
        <w:tc>
          <w:tcPr>
            <w:tcW w:w="1801" w:type="dxa"/>
            <w:shd w:val="clear" w:color="auto" w:fill="CCFFFF"/>
            <w:vAlign w:val="top"/>
          </w:tcPr>
          <w:p w14:paraId="5C042312">
            <w:pPr>
              <w:pStyle w:val="11"/>
              <w:spacing w:before="3"/>
              <w:jc w:val="left"/>
              <w:rPr>
                <w:sz w:val="16"/>
              </w:rPr>
            </w:pPr>
          </w:p>
          <w:p w14:paraId="0DABA6D9">
            <w:pPr>
              <w:pStyle w:val="11"/>
              <w:spacing w:before="1"/>
              <w:ind w:left="774" w:right="766"/>
              <w:rPr>
                <w:rFonts w:ascii="Times New Roman"/>
                <w:sz w:val="21"/>
              </w:rPr>
            </w:pPr>
            <w:r>
              <w:rPr>
                <w:rFonts w:ascii="Times New Roman"/>
                <w:sz w:val="21"/>
              </w:rPr>
              <w:t>**</w:t>
            </w:r>
          </w:p>
        </w:tc>
        <w:tc>
          <w:tcPr>
            <w:tcW w:w="3071" w:type="dxa"/>
            <w:shd w:val="clear" w:color="auto" w:fill="CCFFFF"/>
            <w:vAlign w:val="top"/>
          </w:tcPr>
          <w:p w14:paraId="7892CC4D">
            <w:pPr>
              <w:pStyle w:val="11"/>
              <w:spacing w:before="58" w:line="244" w:lineRule="auto"/>
              <w:ind w:left="905" w:right="108" w:hanging="788"/>
              <w:jc w:val="left"/>
              <w:rPr>
                <w:sz w:val="21"/>
              </w:rPr>
            </w:pPr>
            <w:r>
              <w:rPr>
                <w:w w:val="95"/>
                <w:sz w:val="21"/>
              </w:rPr>
              <w:t>公主岭-九台地热资源重点勘查</w:t>
            </w:r>
            <w:r>
              <w:rPr>
                <w:sz w:val="21"/>
              </w:rPr>
              <w:t>区（市规划）</w:t>
            </w:r>
          </w:p>
        </w:tc>
      </w:tr>
      <w:tr w14:paraId="57200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729" w:type="dxa"/>
            <w:shd w:val="clear" w:color="auto" w:fill="CCFFFF"/>
            <w:vAlign w:val="top"/>
          </w:tcPr>
          <w:p w14:paraId="3F579C94">
            <w:pPr>
              <w:pStyle w:val="11"/>
              <w:spacing w:before="3"/>
              <w:jc w:val="left"/>
              <w:rPr>
                <w:sz w:val="16"/>
              </w:rPr>
            </w:pPr>
          </w:p>
          <w:p w14:paraId="709AAB25">
            <w:pPr>
              <w:pStyle w:val="11"/>
              <w:spacing w:before="1"/>
              <w:ind w:left="9"/>
              <w:rPr>
                <w:rFonts w:ascii="Times New Roman"/>
                <w:sz w:val="21"/>
              </w:rPr>
            </w:pPr>
            <w:r>
              <w:rPr>
                <w:rFonts w:ascii="Times New Roman"/>
                <w:w w:val="99"/>
                <w:sz w:val="21"/>
              </w:rPr>
              <w:t>2</w:t>
            </w:r>
          </w:p>
        </w:tc>
        <w:tc>
          <w:tcPr>
            <w:tcW w:w="3148" w:type="dxa"/>
            <w:shd w:val="clear" w:color="auto" w:fill="CCFFFF"/>
            <w:vAlign w:val="top"/>
          </w:tcPr>
          <w:p w14:paraId="35A24C1A">
            <w:pPr>
              <w:pStyle w:val="11"/>
              <w:spacing w:before="58"/>
              <w:ind w:left="292" w:right="285"/>
              <w:rPr>
                <w:sz w:val="21"/>
              </w:rPr>
            </w:pPr>
            <w:r>
              <w:rPr>
                <w:sz w:val="21"/>
              </w:rPr>
              <w:t>米沙子地热资源重点勘查区</w:t>
            </w:r>
          </w:p>
          <w:p w14:paraId="6907BDA4">
            <w:pPr>
              <w:pStyle w:val="11"/>
              <w:spacing w:before="4"/>
              <w:ind w:left="292" w:right="285"/>
              <w:rPr>
                <w:sz w:val="21"/>
              </w:rPr>
            </w:pPr>
            <w:r>
              <w:rPr>
                <w:sz w:val="21"/>
              </w:rPr>
              <w:t>（二）</w:t>
            </w:r>
          </w:p>
        </w:tc>
        <w:tc>
          <w:tcPr>
            <w:tcW w:w="1801" w:type="dxa"/>
            <w:shd w:val="clear" w:color="auto" w:fill="CCFFFF"/>
            <w:vAlign w:val="top"/>
          </w:tcPr>
          <w:p w14:paraId="2C455511">
            <w:pPr>
              <w:pStyle w:val="11"/>
              <w:spacing w:before="3"/>
              <w:jc w:val="left"/>
              <w:rPr>
                <w:sz w:val="16"/>
              </w:rPr>
            </w:pPr>
          </w:p>
          <w:p w14:paraId="5FFE8334">
            <w:pPr>
              <w:pStyle w:val="11"/>
              <w:spacing w:before="1"/>
              <w:ind w:left="774" w:right="766"/>
              <w:rPr>
                <w:rFonts w:ascii="Times New Roman"/>
                <w:sz w:val="21"/>
              </w:rPr>
            </w:pPr>
            <w:r>
              <w:rPr>
                <w:rFonts w:ascii="Times New Roman"/>
                <w:sz w:val="21"/>
              </w:rPr>
              <w:t>**</w:t>
            </w:r>
          </w:p>
        </w:tc>
        <w:tc>
          <w:tcPr>
            <w:tcW w:w="3071" w:type="dxa"/>
            <w:shd w:val="clear" w:color="auto" w:fill="CCFFFF"/>
            <w:vAlign w:val="top"/>
          </w:tcPr>
          <w:p w14:paraId="5AA1B829">
            <w:pPr>
              <w:pStyle w:val="11"/>
              <w:spacing w:before="58" w:line="244" w:lineRule="auto"/>
              <w:ind w:left="905" w:right="108" w:hanging="788"/>
              <w:jc w:val="left"/>
              <w:rPr>
                <w:sz w:val="21"/>
              </w:rPr>
            </w:pPr>
            <w:r>
              <w:rPr>
                <w:w w:val="95"/>
                <w:sz w:val="21"/>
              </w:rPr>
              <w:t>公主岭-九台地热资源重点勘查</w:t>
            </w:r>
            <w:r>
              <w:rPr>
                <w:sz w:val="21"/>
              </w:rPr>
              <w:t>区（市规划）</w:t>
            </w:r>
          </w:p>
        </w:tc>
      </w:tr>
    </w:tbl>
    <w:p w14:paraId="17B5CBAB">
      <w:pPr>
        <w:spacing w:after="0" w:line="244" w:lineRule="auto"/>
        <w:jc w:val="left"/>
        <w:rPr>
          <w:sz w:val="21"/>
        </w:rPr>
        <w:sectPr>
          <w:pgSz w:w="11910" w:h="16840"/>
          <w:pgMar w:top="1080" w:right="1180" w:bottom="1180" w:left="1220" w:header="0" w:footer="993" w:gutter="0"/>
          <w:cols w:space="720" w:num="1"/>
        </w:sectPr>
      </w:pPr>
    </w:p>
    <w:p w14:paraId="259D0278">
      <w:pPr>
        <w:spacing w:before="0" w:line="483" w:lineRule="exact"/>
        <w:ind w:left="820" w:right="0" w:firstLine="0"/>
        <w:jc w:val="left"/>
        <w:rPr>
          <w:sz w:val="30"/>
        </w:rPr>
      </w:pPr>
      <w:r>
        <w:rPr>
          <w:rFonts w:hint="eastAsia" w:ascii="Microsoft JhengHei" w:eastAsia="Microsoft JhengHei"/>
          <w:b/>
          <w:sz w:val="30"/>
        </w:rPr>
        <w:t>重点勘查区管理措施</w:t>
      </w:r>
      <w:r>
        <w:rPr>
          <w:rFonts w:hint="eastAsia" w:ascii="Microsoft JhengHei"/>
          <w:b/>
          <w:sz w:val="30"/>
          <w:lang w:eastAsia="zh-CN"/>
        </w:rPr>
        <w:t>。</w:t>
      </w:r>
      <w:r>
        <w:rPr>
          <w:sz w:val="30"/>
        </w:rPr>
        <w:t>针对重点勘查矿种，严禁将同一完整找矿</w:t>
      </w:r>
    </w:p>
    <w:p w14:paraId="616D62E5">
      <w:pPr>
        <w:pStyle w:val="2"/>
        <w:spacing w:before="147" w:line="374" w:lineRule="auto"/>
        <w:ind w:left="220" w:right="258"/>
        <w:jc w:val="both"/>
      </w:pPr>
      <w:r>
        <w:t>信息区块分割出让；积极引导各方资金有序、集中投入，力争实现找矿重大突破，发现一批新的矿产地，形成具有一定规模的资源开发基地。</w:t>
      </w:r>
    </w:p>
    <w:p w14:paraId="715CFD11">
      <w:pPr>
        <w:pStyle w:val="2"/>
        <w:spacing w:before="1"/>
        <w:ind w:left="820"/>
        <w:rPr>
          <w:rFonts w:hint="eastAsia" w:ascii="黑体" w:eastAsia="黑体"/>
        </w:rPr>
      </w:pPr>
      <w:r>
        <w:rPr>
          <w:rFonts w:hint="eastAsia" w:ascii="黑体" w:eastAsia="黑体"/>
        </w:rPr>
        <w:t>二、重点开采区</w:t>
      </w:r>
    </w:p>
    <w:p w14:paraId="14859ACB">
      <w:pPr>
        <w:pStyle w:val="2"/>
        <w:spacing w:before="36" w:line="600" w:lineRule="exact"/>
        <w:ind w:left="220" w:right="258" w:firstLine="600"/>
        <w:jc w:val="both"/>
      </w:pPr>
      <w:r>
        <w:rPr>
          <w:rFonts w:hint="eastAsia" w:ascii="Microsoft JhengHei" w:hAnsi="Microsoft JhengHei" w:eastAsia="Microsoft JhengHei"/>
          <w:b/>
        </w:rPr>
        <w:t>重点开采区布局</w:t>
      </w:r>
      <w:r>
        <w:rPr>
          <w:rFonts w:hint="eastAsia" w:ascii="Microsoft JhengHei" w:hAnsi="Microsoft JhengHei"/>
          <w:b/>
          <w:lang w:eastAsia="zh-CN"/>
        </w:rPr>
        <w:t>。</w:t>
      </w:r>
      <w:r>
        <w:rPr>
          <w:spacing w:val="-1"/>
        </w:rPr>
        <w:t>落实市规划并结合我市优势矿产分布情况，划</w:t>
      </w:r>
      <w:r>
        <w:rPr>
          <w:spacing w:val="-34"/>
        </w:rPr>
        <w:t xml:space="preserve">定 </w:t>
      </w:r>
      <w:r>
        <w:rPr>
          <w:rFonts w:ascii="Times New Roman" w:hAnsi="Times New Roman" w:eastAsia="Times New Roman"/>
        </w:rPr>
        <w:t xml:space="preserve">1 </w:t>
      </w:r>
      <w:r>
        <w:t>个重点开采区（</w:t>
      </w:r>
      <w:r>
        <w:rPr>
          <w:spacing w:val="-21"/>
        </w:rPr>
        <w:t xml:space="preserve">专栏 </w:t>
      </w:r>
      <w:r>
        <w:rPr>
          <w:rFonts w:ascii="Times New Roman" w:hAnsi="Times New Roman" w:eastAsia="Times New Roman"/>
          <w:spacing w:val="3"/>
        </w:rPr>
        <w:t>6</w:t>
      </w:r>
      <w:r>
        <w:rPr>
          <w:spacing w:val="3"/>
        </w:rPr>
        <w:t>）</w:t>
      </w:r>
      <w:r>
        <w:t>，即大青咀—大房身镇矿泉水资源重点开采区。</w:t>
      </w:r>
    </w:p>
    <w:p w14:paraId="17E52AC7">
      <w:pPr>
        <w:pStyle w:val="2"/>
        <w:spacing w:line="600" w:lineRule="exact"/>
        <w:ind w:left="220" w:right="107" w:firstLine="600"/>
      </w:pPr>
      <w:r>
        <w:rPr>
          <w:rFonts w:hint="eastAsia" w:ascii="Microsoft JhengHei" w:eastAsia="Microsoft JhengHei"/>
          <w:b/>
        </w:rPr>
        <w:t>重点开采区管理措施</w:t>
      </w:r>
      <w:r>
        <w:rPr>
          <w:rFonts w:hint="eastAsia" w:ascii="Microsoft JhengHei"/>
          <w:b/>
          <w:lang w:eastAsia="zh-CN"/>
        </w:rPr>
        <w:t>。</w:t>
      </w:r>
      <w:r>
        <w:t xml:space="preserve">统筹规划和优先安排矿产资源开发项目， </w:t>
      </w:r>
      <w:r>
        <w:rPr>
          <w:spacing w:val="-9"/>
        </w:rPr>
        <w:t xml:space="preserve">保障经济社会发展对矿产资源的需求；对大中型矿产地进行规模开发， </w:t>
      </w:r>
      <w:r>
        <w:t>重点培育大中型骨干矿山企业，优先配置资源；严格执行矿山开采规</w:t>
      </w:r>
      <w:r>
        <w:rPr>
          <w:spacing w:val="-12"/>
        </w:rPr>
        <w:t xml:space="preserve">模准入标准，依法做好矿产资源开发整合，鼓励综合勘查和整体开发； </w:t>
      </w:r>
      <w:r>
        <w:t>鼓励矿山企业加大科技投入，在矿产资源配置上向资源利用率高、技术先进的大型矿山企业倾斜。</w:t>
      </w:r>
    </w:p>
    <w:tbl>
      <w:tblPr>
        <w:tblStyle w:val="3"/>
        <w:tblW w:w="8748" w:type="dxa"/>
        <w:tblInd w:w="3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6"/>
        <w:gridCol w:w="4369"/>
        <w:gridCol w:w="3643"/>
      </w:tblGrid>
      <w:tr w14:paraId="438AA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8748" w:type="dxa"/>
            <w:gridSpan w:val="3"/>
            <w:shd w:val="clear" w:color="auto" w:fill="99CCFF"/>
            <w:vAlign w:val="top"/>
          </w:tcPr>
          <w:p w14:paraId="799CFCC6">
            <w:pPr>
              <w:pStyle w:val="11"/>
              <w:tabs>
                <w:tab w:val="left" w:pos="1029"/>
              </w:tabs>
              <w:spacing w:before="71"/>
              <w:ind w:left="9"/>
              <w:rPr>
                <w:sz w:val="24"/>
              </w:rPr>
            </w:pPr>
            <w:r>
              <w:rPr>
                <w:sz w:val="24"/>
              </w:rPr>
              <w:t>专栏</w:t>
            </w:r>
            <w:r>
              <w:rPr>
                <w:spacing w:val="-60"/>
                <w:sz w:val="24"/>
              </w:rPr>
              <w:t xml:space="preserve"> </w:t>
            </w:r>
            <w:r>
              <w:rPr>
                <w:rFonts w:ascii="Times New Roman" w:eastAsia="Times New Roman"/>
                <w:sz w:val="24"/>
              </w:rPr>
              <w:t>6</w:t>
            </w:r>
            <w:r>
              <w:rPr>
                <w:rFonts w:ascii="Times New Roman" w:eastAsia="Times New Roman"/>
                <w:sz w:val="24"/>
              </w:rPr>
              <w:tab/>
            </w:r>
            <w:r>
              <w:rPr>
                <w:sz w:val="24"/>
              </w:rPr>
              <w:t>矿产资源重点开采区</w:t>
            </w:r>
          </w:p>
        </w:tc>
      </w:tr>
      <w:tr w14:paraId="04774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36" w:type="dxa"/>
            <w:shd w:val="clear" w:color="auto" w:fill="CCFFFF"/>
            <w:vAlign w:val="top"/>
          </w:tcPr>
          <w:p w14:paraId="6E9787F1">
            <w:pPr>
              <w:pStyle w:val="11"/>
              <w:spacing w:before="30"/>
              <w:ind w:left="137" w:right="129"/>
              <w:rPr>
                <w:sz w:val="21"/>
              </w:rPr>
            </w:pPr>
            <w:r>
              <w:rPr>
                <w:sz w:val="21"/>
              </w:rPr>
              <w:t>序号</w:t>
            </w:r>
          </w:p>
        </w:tc>
        <w:tc>
          <w:tcPr>
            <w:tcW w:w="4369" w:type="dxa"/>
            <w:shd w:val="clear" w:color="auto" w:fill="CCFFFF"/>
            <w:vAlign w:val="top"/>
          </w:tcPr>
          <w:p w14:paraId="1424C6DD">
            <w:pPr>
              <w:pStyle w:val="11"/>
              <w:spacing w:before="30"/>
              <w:ind w:left="270" w:right="265"/>
              <w:rPr>
                <w:sz w:val="21"/>
              </w:rPr>
            </w:pPr>
            <w:r>
              <w:rPr>
                <w:sz w:val="21"/>
              </w:rPr>
              <w:t>名称</w:t>
            </w:r>
          </w:p>
        </w:tc>
        <w:tc>
          <w:tcPr>
            <w:tcW w:w="3643" w:type="dxa"/>
            <w:shd w:val="clear" w:color="auto" w:fill="CCFFFF"/>
            <w:vAlign w:val="top"/>
          </w:tcPr>
          <w:p w14:paraId="21D581F0">
            <w:pPr>
              <w:pStyle w:val="11"/>
              <w:spacing w:before="30"/>
              <w:ind w:left="960" w:right="953"/>
              <w:rPr>
                <w:sz w:val="21"/>
              </w:rPr>
            </w:pPr>
            <w:r>
              <w:rPr>
                <w:sz w:val="21"/>
              </w:rPr>
              <w:t>面积（平方公里）</w:t>
            </w:r>
          </w:p>
        </w:tc>
      </w:tr>
      <w:tr w14:paraId="1B3A8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736" w:type="dxa"/>
            <w:shd w:val="clear" w:color="auto" w:fill="CCFFFF"/>
            <w:vAlign w:val="top"/>
          </w:tcPr>
          <w:p w14:paraId="3EEC2D8C">
            <w:pPr>
              <w:pStyle w:val="11"/>
              <w:spacing w:before="8"/>
              <w:jc w:val="left"/>
              <w:rPr>
                <w:sz w:val="16"/>
              </w:rPr>
            </w:pPr>
          </w:p>
          <w:p w14:paraId="1CA6464C">
            <w:pPr>
              <w:pStyle w:val="11"/>
              <w:ind w:left="7"/>
              <w:rPr>
                <w:rFonts w:ascii="Times New Roman"/>
                <w:sz w:val="21"/>
              </w:rPr>
            </w:pPr>
            <w:r>
              <w:rPr>
                <w:rFonts w:ascii="Times New Roman"/>
                <w:w w:val="99"/>
                <w:sz w:val="21"/>
              </w:rPr>
              <w:t>1</w:t>
            </w:r>
          </w:p>
        </w:tc>
        <w:tc>
          <w:tcPr>
            <w:tcW w:w="4369" w:type="dxa"/>
            <w:shd w:val="clear" w:color="auto" w:fill="CCFFFF"/>
            <w:vAlign w:val="top"/>
          </w:tcPr>
          <w:p w14:paraId="39FDB519">
            <w:pPr>
              <w:pStyle w:val="11"/>
              <w:spacing w:before="7"/>
              <w:jc w:val="left"/>
              <w:rPr>
                <w:sz w:val="15"/>
              </w:rPr>
            </w:pPr>
          </w:p>
          <w:p w14:paraId="6E91A518">
            <w:pPr>
              <w:pStyle w:val="11"/>
              <w:ind w:left="273" w:right="265"/>
              <w:rPr>
                <w:sz w:val="21"/>
              </w:rPr>
            </w:pPr>
            <w:r>
              <w:rPr>
                <w:sz w:val="21"/>
              </w:rPr>
              <w:t>大青咀—大房身镇矿泉水资源重点开采区</w:t>
            </w:r>
          </w:p>
        </w:tc>
        <w:tc>
          <w:tcPr>
            <w:tcW w:w="3643" w:type="dxa"/>
            <w:shd w:val="clear" w:color="auto" w:fill="CCFFFF"/>
            <w:vAlign w:val="top"/>
          </w:tcPr>
          <w:p w14:paraId="285CC769">
            <w:pPr>
              <w:pStyle w:val="11"/>
              <w:spacing w:before="8"/>
              <w:jc w:val="left"/>
              <w:rPr>
                <w:sz w:val="16"/>
              </w:rPr>
            </w:pPr>
          </w:p>
          <w:p w14:paraId="35159A1C">
            <w:pPr>
              <w:pStyle w:val="11"/>
              <w:ind w:left="959" w:right="953"/>
              <w:rPr>
                <w:rFonts w:ascii="Times New Roman"/>
                <w:sz w:val="21"/>
              </w:rPr>
            </w:pPr>
            <w:r>
              <w:rPr>
                <w:rFonts w:ascii="Times New Roman"/>
                <w:sz w:val="21"/>
              </w:rPr>
              <w:t>**</w:t>
            </w:r>
          </w:p>
        </w:tc>
      </w:tr>
    </w:tbl>
    <w:p w14:paraId="5A4FA6B4">
      <w:pPr>
        <w:pStyle w:val="2"/>
        <w:spacing w:before="2"/>
        <w:rPr>
          <w:sz w:val="26"/>
        </w:rPr>
      </w:pPr>
    </w:p>
    <w:p w14:paraId="62F61F51">
      <w:pPr>
        <w:pStyle w:val="2"/>
        <w:ind w:right="38"/>
        <w:jc w:val="center"/>
        <w:rPr>
          <w:rFonts w:hint="eastAsia" w:ascii="黑体" w:eastAsia="黑体"/>
        </w:rPr>
      </w:pPr>
      <w:bookmarkStart w:id="26" w:name="_bookmark13"/>
      <w:bookmarkEnd w:id="26"/>
      <w:bookmarkStart w:id="27" w:name="第四节 勘查规划区块"/>
      <w:bookmarkEnd w:id="27"/>
      <w:r>
        <w:rPr>
          <w:rFonts w:hint="eastAsia" w:ascii="黑体" w:eastAsia="黑体"/>
        </w:rPr>
        <w:t>第四节 勘查规划区块</w:t>
      </w:r>
    </w:p>
    <w:p w14:paraId="2CAA9A32">
      <w:pPr>
        <w:pStyle w:val="2"/>
        <w:spacing w:before="192" w:line="600" w:lineRule="exact"/>
        <w:ind w:left="220" w:right="262" w:firstLine="600"/>
        <w:jc w:val="both"/>
      </w:pPr>
      <w:r>
        <w:rPr>
          <w:rFonts w:hint="eastAsia" w:ascii="Microsoft JhengHei" w:eastAsia="Microsoft JhengHei"/>
          <w:b/>
        </w:rPr>
        <w:t>勘查规划区块设置</w:t>
      </w:r>
      <w:r>
        <w:rPr>
          <w:rFonts w:hint="eastAsia" w:ascii="Microsoft JhengHei"/>
          <w:b/>
          <w:lang w:eastAsia="zh-CN"/>
        </w:rPr>
        <w:t>。</w:t>
      </w:r>
      <w:r>
        <w:t>根据勘查规划区块设置依据，本级不设勘查规划区块，主要落实市规划勘查规划区块</w:t>
      </w:r>
      <w:r>
        <w:rPr>
          <w:rFonts w:ascii="Times New Roman" w:eastAsia="Times New Roman"/>
          <w:sz w:val="21"/>
        </w:rPr>
        <w:t>**</w:t>
      </w:r>
      <w:r>
        <w:t>个（地热勘查规划区块</w:t>
      </w:r>
      <w:r>
        <w:rPr>
          <w:rFonts w:ascii="Times New Roman" w:eastAsia="Times New Roman"/>
          <w:sz w:val="21"/>
        </w:rPr>
        <w:t xml:space="preserve">** </w:t>
      </w:r>
      <w:r>
        <w:t>个、矿泉水勘查规划区块</w:t>
      </w:r>
      <w:r>
        <w:rPr>
          <w:rFonts w:ascii="Times New Roman" w:eastAsia="Times New Roman"/>
          <w:sz w:val="21"/>
        </w:rPr>
        <w:t>**</w:t>
      </w:r>
      <w:r>
        <w:t xml:space="preserve">个）。上述勘查规划区块中，地热勘查程度为普查，矿泉水勘查程度为详查（专栏 </w:t>
      </w:r>
      <w:r>
        <w:rPr>
          <w:rFonts w:ascii="Times New Roman" w:eastAsia="Times New Roman"/>
        </w:rPr>
        <w:t>7</w:t>
      </w:r>
      <w:r>
        <w:t>）。</w:t>
      </w:r>
    </w:p>
    <w:p w14:paraId="5BDAFE50">
      <w:pPr>
        <w:spacing w:after="0" w:line="600" w:lineRule="exact"/>
        <w:jc w:val="both"/>
        <w:sectPr>
          <w:pgSz w:w="11910" w:h="16840"/>
          <w:pgMar w:top="1240" w:right="1180" w:bottom="1180" w:left="1220" w:header="0" w:footer="993" w:gutter="0"/>
          <w:cols w:space="720" w:num="1"/>
        </w:sectPr>
      </w:pPr>
    </w:p>
    <w:tbl>
      <w:tblPr>
        <w:tblStyle w:val="3"/>
        <w:tblW w:w="8749" w:type="dxa"/>
        <w:tblInd w:w="3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2"/>
        <w:gridCol w:w="1381"/>
        <w:gridCol w:w="806"/>
        <w:gridCol w:w="849"/>
        <w:gridCol w:w="766"/>
        <w:gridCol w:w="869"/>
        <w:gridCol w:w="3356"/>
      </w:tblGrid>
      <w:tr w14:paraId="703D2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8749" w:type="dxa"/>
            <w:gridSpan w:val="7"/>
            <w:shd w:val="clear" w:color="auto" w:fill="99CCFF"/>
            <w:vAlign w:val="top"/>
          </w:tcPr>
          <w:p w14:paraId="764BFC9D">
            <w:pPr>
              <w:pStyle w:val="11"/>
              <w:tabs>
                <w:tab w:val="left" w:pos="1028"/>
              </w:tabs>
              <w:spacing w:before="71"/>
              <w:ind w:left="8"/>
              <w:rPr>
                <w:sz w:val="24"/>
              </w:rPr>
            </w:pPr>
            <w:r>
              <w:rPr>
                <w:sz w:val="24"/>
              </w:rPr>
              <w:t>专栏</w:t>
            </w:r>
            <w:r>
              <w:rPr>
                <w:spacing w:val="-60"/>
                <w:sz w:val="24"/>
              </w:rPr>
              <w:t xml:space="preserve"> </w:t>
            </w:r>
            <w:r>
              <w:rPr>
                <w:rFonts w:ascii="Times New Roman" w:eastAsia="Times New Roman"/>
                <w:sz w:val="24"/>
              </w:rPr>
              <w:t>7</w:t>
            </w:r>
            <w:r>
              <w:rPr>
                <w:rFonts w:ascii="Times New Roman" w:eastAsia="Times New Roman"/>
                <w:sz w:val="24"/>
              </w:rPr>
              <w:tab/>
            </w:r>
            <w:r>
              <w:rPr>
                <w:sz w:val="24"/>
              </w:rPr>
              <w:t>勘查规划区块</w:t>
            </w:r>
          </w:p>
        </w:tc>
      </w:tr>
      <w:tr w14:paraId="3708A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722" w:type="dxa"/>
            <w:vMerge w:val="restart"/>
            <w:shd w:val="clear" w:color="auto" w:fill="CCFFFF"/>
            <w:vAlign w:val="top"/>
          </w:tcPr>
          <w:p w14:paraId="1ADB0C84">
            <w:pPr>
              <w:pStyle w:val="11"/>
              <w:spacing w:before="3"/>
              <w:jc w:val="left"/>
              <w:rPr>
                <w:sz w:val="16"/>
              </w:rPr>
            </w:pPr>
          </w:p>
          <w:p w14:paraId="03E93316">
            <w:pPr>
              <w:pStyle w:val="11"/>
              <w:ind w:left="151"/>
              <w:jc w:val="left"/>
              <w:rPr>
                <w:sz w:val="21"/>
              </w:rPr>
            </w:pPr>
            <w:r>
              <w:rPr>
                <w:sz w:val="21"/>
              </w:rPr>
              <w:t>序号</w:t>
            </w:r>
          </w:p>
        </w:tc>
        <w:tc>
          <w:tcPr>
            <w:tcW w:w="1381" w:type="dxa"/>
            <w:vMerge w:val="restart"/>
            <w:shd w:val="clear" w:color="auto" w:fill="CCFFFF"/>
            <w:vAlign w:val="top"/>
          </w:tcPr>
          <w:p w14:paraId="2BBD41BD">
            <w:pPr>
              <w:pStyle w:val="11"/>
              <w:spacing w:before="3"/>
              <w:jc w:val="left"/>
              <w:rPr>
                <w:sz w:val="16"/>
              </w:rPr>
            </w:pPr>
          </w:p>
          <w:p w14:paraId="322848AD">
            <w:pPr>
              <w:pStyle w:val="11"/>
              <w:ind w:left="269"/>
              <w:jc w:val="left"/>
              <w:rPr>
                <w:sz w:val="21"/>
              </w:rPr>
            </w:pPr>
            <w:r>
              <w:rPr>
                <w:sz w:val="21"/>
              </w:rPr>
              <w:t>勘查矿种</w:t>
            </w:r>
          </w:p>
        </w:tc>
        <w:tc>
          <w:tcPr>
            <w:tcW w:w="806" w:type="dxa"/>
            <w:vMerge w:val="restart"/>
            <w:shd w:val="clear" w:color="auto" w:fill="CCFFFF"/>
            <w:vAlign w:val="top"/>
          </w:tcPr>
          <w:p w14:paraId="63CB084E">
            <w:pPr>
              <w:pStyle w:val="11"/>
              <w:spacing w:before="5"/>
              <w:jc w:val="left"/>
              <w:rPr>
                <w:sz w:val="16"/>
              </w:rPr>
            </w:pPr>
          </w:p>
          <w:p w14:paraId="1A7112DA">
            <w:pPr>
              <w:pStyle w:val="11"/>
              <w:ind w:left="193"/>
              <w:jc w:val="left"/>
              <w:rPr>
                <w:sz w:val="21"/>
              </w:rPr>
            </w:pPr>
            <w:r>
              <w:rPr>
                <w:sz w:val="21"/>
              </w:rPr>
              <w:t>数量</w:t>
            </w:r>
          </w:p>
        </w:tc>
        <w:tc>
          <w:tcPr>
            <w:tcW w:w="2484" w:type="dxa"/>
            <w:gridSpan w:val="3"/>
            <w:shd w:val="clear" w:color="auto" w:fill="CCFFFF"/>
            <w:vAlign w:val="top"/>
          </w:tcPr>
          <w:p w14:paraId="65850077">
            <w:pPr>
              <w:pStyle w:val="11"/>
              <w:spacing w:before="38"/>
              <w:ind w:left="820"/>
              <w:jc w:val="left"/>
              <w:rPr>
                <w:sz w:val="21"/>
              </w:rPr>
            </w:pPr>
            <w:r>
              <w:rPr>
                <w:sz w:val="21"/>
              </w:rPr>
              <w:t>勘查程度</w:t>
            </w:r>
          </w:p>
        </w:tc>
        <w:tc>
          <w:tcPr>
            <w:tcW w:w="3356" w:type="dxa"/>
            <w:vMerge w:val="restart"/>
            <w:shd w:val="clear" w:color="auto" w:fill="CCFFFF"/>
            <w:vAlign w:val="top"/>
          </w:tcPr>
          <w:p w14:paraId="291B80B8">
            <w:pPr>
              <w:pStyle w:val="11"/>
              <w:spacing w:before="3"/>
              <w:jc w:val="left"/>
              <w:rPr>
                <w:sz w:val="16"/>
              </w:rPr>
            </w:pPr>
          </w:p>
          <w:p w14:paraId="7D59C36F">
            <w:pPr>
              <w:pStyle w:val="11"/>
              <w:ind w:left="185" w:right="179"/>
              <w:rPr>
                <w:sz w:val="21"/>
              </w:rPr>
            </w:pPr>
            <w:r>
              <w:rPr>
                <w:sz w:val="21"/>
              </w:rPr>
              <w:t>所在乡、镇</w:t>
            </w:r>
          </w:p>
        </w:tc>
      </w:tr>
      <w:tr w14:paraId="03F44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22" w:type="dxa"/>
            <w:vMerge w:val="continue"/>
            <w:tcBorders>
              <w:top w:val="nil"/>
            </w:tcBorders>
            <w:shd w:val="clear" w:color="auto" w:fill="CCFFFF"/>
            <w:vAlign w:val="top"/>
          </w:tcPr>
          <w:p w14:paraId="15603424">
            <w:pPr>
              <w:rPr>
                <w:sz w:val="2"/>
                <w:szCs w:val="2"/>
              </w:rPr>
            </w:pPr>
          </w:p>
        </w:tc>
        <w:tc>
          <w:tcPr>
            <w:tcW w:w="1381" w:type="dxa"/>
            <w:vMerge w:val="continue"/>
            <w:tcBorders>
              <w:top w:val="nil"/>
            </w:tcBorders>
            <w:shd w:val="clear" w:color="auto" w:fill="CCFFFF"/>
            <w:vAlign w:val="top"/>
          </w:tcPr>
          <w:p w14:paraId="013CB4DB">
            <w:pPr>
              <w:rPr>
                <w:sz w:val="2"/>
                <w:szCs w:val="2"/>
              </w:rPr>
            </w:pPr>
          </w:p>
        </w:tc>
        <w:tc>
          <w:tcPr>
            <w:tcW w:w="806" w:type="dxa"/>
            <w:vMerge w:val="continue"/>
            <w:tcBorders>
              <w:top w:val="nil"/>
            </w:tcBorders>
            <w:shd w:val="clear" w:color="auto" w:fill="CCFFFF"/>
            <w:vAlign w:val="top"/>
          </w:tcPr>
          <w:p w14:paraId="1CD93E9C">
            <w:pPr>
              <w:rPr>
                <w:sz w:val="2"/>
                <w:szCs w:val="2"/>
              </w:rPr>
            </w:pPr>
          </w:p>
        </w:tc>
        <w:tc>
          <w:tcPr>
            <w:tcW w:w="849" w:type="dxa"/>
            <w:shd w:val="clear" w:color="auto" w:fill="CCFFFF"/>
            <w:vAlign w:val="top"/>
          </w:tcPr>
          <w:p w14:paraId="6EA3A7CC">
            <w:pPr>
              <w:pStyle w:val="11"/>
              <w:spacing w:before="28"/>
              <w:ind w:left="192" w:right="187"/>
              <w:rPr>
                <w:sz w:val="21"/>
              </w:rPr>
            </w:pPr>
            <w:r>
              <w:rPr>
                <w:sz w:val="21"/>
              </w:rPr>
              <w:t>普查</w:t>
            </w:r>
          </w:p>
        </w:tc>
        <w:tc>
          <w:tcPr>
            <w:tcW w:w="766" w:type="dxa"/>
            <w:shd w:val="clear" w:color="auto" w:fill="CCFFFF"/>
            <w:vAlign w:val="top"/>
          </w:tcPr>
          <w:p w14:paraId="2C443783">
            <w:pPr>
              <w:pStyle w:val="11"/>
              <w:spacing w:before="28"/>
              <w:ind w:left="152" w:right="144"/>
              <w:rPr>
                <w:sz w:val="21"/>
              </w:rPr>
            </w:pPr>
            <w:r>
              <w:rPr>
                <w:sz w:val="21"/>
              </w:rPr>
              <w:t>详查</w:t>
            </w:r>
          </w:p>
        </w:tc>
        <w:tc>
          <w:tcPr>
            <w:tcW w:w="869" w:type="dxa"/>
            <w:shd w:val="clear" w:color="auto" w:fill="CCFFFF"/>
            <w:vAlign w:val="top"/>
          </w:tcPr>
          <w:p w14:paraId="58A033D1">
            <w:pPr>
              <w:pStyle w:val="11"/>
              <w:spacing w:before="28"/>
              <w:ind w:left="202" w:right="197"/>
              <w:rPr>
                <w:sz w:val="21"/>
              </w:rPr>
            </w:pPr>
            <w:r>
              <w:rPr>
                <w:sz w:val="21"/>
              </w:rPr>
              <w:t>勘探</w:t>
            </w:r>
          </w:p>
        </w:tc>
        <w:tc>
          <w:tcPr>
            <w:tcW w:w="3356" w:type="dxa"/>
            <w:vMerge w:val="continue"/>
            <w:tcBorders>
              <w:top w:val="nil"/>
            </w:tcBorders>
            <w:shd w:val="clear" w:color="auto" w:fill="CCFFFF"/>
            <w:vAlign w:val="top"/>
          </w:tcPr>
          <w:p w14:paraId="432D14F4">
            <w:pPr>
              <w:rPr>
                <w:sz w:val="2"/>
                <w:szCs w:val="2"/>
              </w:rPr>
            </w:pPr>
          </w:p>
        </w:tc>
      </w:tr>
      <w:tr w14:paraId="6047E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22" w:type="dxa"/>
            <w:shd w:val="clear" w:color="auto" w:fill="CCFFFF"/>
            <w:vAlign w:val="top"/>
          </w:tcPr>
          <w:p w14:paraId="17C1C37F">
            <w:pPr>
              <w:pStyle w:val="11"/>
              <w:spacing w:before="48"/>
              <w:ind w:left="6"/>
              <w:rPr>
                <w:rFonts w:ascii="Times New Roman"/>
                <w:sz w:val="21"/>
              </w:rPr>
            </w:pPr>
            <w:r>
              <w:rPr>
                <w:rFonts w:ascii="Times New Roman"/>
                <w:w w:val="99"/>
                <w:sz w:val="21"/>
              </w:rPr>
              <w:t>1</w:t>
            </w:r>
          </w:p>
        </w:tc>
        <w:tc>
          <w:tcPr>
            <w:tcW w:w="1381" w:type="dxa"/>
            <w:shd w:val="clear" w:color="auto" w:fill="CCFFFF"/>
            <w:vAlign w:val="top"/>
          </w:tcPr>
          <w:p w14:paraId="1AF5891B">
            <w:pPr>
              <w:pStyle w:val="11"/>
              <w:spacing w:before="34"/>
              <w:ind w:left="354" w:right="347"/>
              <w:rPr>
                <w:sz w:val="21"/>
              </w:rPr>
            </w:pPr>
            <w:r>
              <w:rPr>
                <w:sz w:val="21"/>
              </w:rPr>
              <w:t>地热</w:t>
            </w:r>
          </w:p>
        </w:tc>
        <w:tc>
          <w:tcPr>
            <w:tcW w:w="806" w:type="dxa"/>
            <w:shd w:val="clear" w:color="auto" w:fill="CCFFFF"/>
            <w:vAlign w:val="top"/>
          </w:tcPr>
          <w:p w14:paraId="2B289312">
            <w:pPr>
              <w:pStyle w:val="11"/>
              <w:spacing w:before="48"/>
              <w:ind w:left="275" w:right="270"/>
              <w:rPr>
                <w:rFonts w:ascii="Times New Roman"/>
                <w:sz w:val="21"/>
              </w:rPr>
            </w:pPr>
            <w:r>
              <w:rPr>
                <w:rFonts w:ascii="Times New Roman"/>
                <w:sz w:val="21"/>
              </w:rPr>
              <w:t>**</w:t>
            </w:r>
          </w:p>
        </w:tc>
        <w:tc>
          <w:tcPr>
            <w:tcW w:w="849" w:type="dxa"/>
            <w:shd w:val="clear" w:color="auto" w:fill="CCFFFF"/>
            <w:vAlign w:val="top"/>
          </w:tcPr>
          <w:p w14:paraId="55F0D1E6">
            <w:pPr>
              <w:pStyle w:val="11"/>
              <w:spacing w:before="48"/>
              <w:ind w:left="192" w:right="186"/>
              <w:rPr>
                <w:rFonts w:ascii="Times New Roman"/>
                <w:sz w:val="21"/>
              </w:rPr>
            </w:pPr>
            <w:r>
              <w:rPr>
                <w:rFonts w:ascii="Times New Roman"/>
                <w:sz w:val="21"/>
              </w:rPr>
              <w:t>**</w:t>
            </w:r>
          </w:p>
        </w:tc>
        <w:tc>
          <w:tcPr>
            <w:tcW w:w="766" w:type="dxa"/>
            <w:shd w:val="clear" w:color="auto" w:fill="CCFFFF"/>
            <w:vAlign w:val="top"/>
          </w:tcPr>
          <w:p w14:paraId="47938C93">
            <w:pPr>
              <w:pStyle w:val="11"/>
              <w:spacing w:before="48"/>
              <w:ind w:left="152" w:right="143"/>
              <w:rPr>
                <w:rFonts w:ascii="Times New Roman"/>
                <w:sz w:val="21"/>
              </w:rPr>
            </w:pPr>
            <w:r>
              <w:rPr>
                <w:rFonts w:ascii="Times New Roman"/>
                <w:sz w:val="21"/>
              </w:rPr>
              <w:t>**</w:t>
            </w:r>
          </w:p>
        </w:tc>
        <w:tc>
          <w:tcPr>
            <w:tcW w:w="869" w:type="dxa"/>
            <w:shd w:val="clear" w:color="auto" w:fill="CCFFFF"/>
            <w:vAlign w:val="top"/>
          </w:tcPr>
          <w:p w14:paraId="057CA40E">
            <w:pPr>
              <w:pStyle w:val="11"/>
              <w:spacing w:before="48"/>
              <w:ind w:left="202" w:right="196"/>
              <w:rPr>
                <w:rFonts w:ascii="Times New Roman"/>
                <w:sz w:val="21"/>
              </w:rPr>
            </w:pPr>
            <w:r>
              <w:rPr>
                <w:rFonts w:ascii="Times New Roman"/>
                <w:sz w:val="21"/>
              </w:rPr>
              <w:t>**</w:t>
            </w:r>
          </w:p>
        </w:tc>
        <w:tc>
          <w:tcPr>
            <w:tcW w:w="3356" w:type="dxa"/>
            <w:shd w:val="clear" w:color="auto" w:fill="CCFFFF"/>
            <w:vAlign w:val="top"/>
          </w:tcPr>
          <w:p w14:paraId="4F56B545">
            <w:pPr>
              <w:pStyle w:val="11"/>
              <w:spacing w:before="34"/>
              <w:ind w:left="187" w:right="179"/>
              <w:rPr>
                <w:sz w:val="21"/>
              </w:rPr>
            </w:pPr>
            <w:r>
              <w:rPr>
                <w:sz w:val="21"/>
              </w:rPr>
              <w:t>米沙子</w:t>
            </w:r>
          </w:p>
        </w:tc>
      </w:tr>
      <w:tr w14:paraId="23F5F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722" w:type="dxa"/>
            <w:shd w:val="clear" w:color="auto" w:fill="CCFFFF"/>
            <w:vAlign w:val="top"/>
          </w:tcPr>
          <w:p w14:paraId="6817DD0E">
            <w:pPr>
              <w:pStyle w:val="11"/>
              <w:spacing w:before="87"/>
              <w:ind w:left="6"/>
              <w:rPr>
                <w:rFonts w:ascii="Times New Roman"/>
                <w:sz w:val="21"/>
              </w:rPr>
            </w:pPr>
            <w:r>
              <w:rPr>
                <w:rFonts w:ascii="Times New Roman"/>
                <w:w w:val="99"/>
                <w:sz w:val="21"/>
              </w:rPr>
              <w:t>2</w:t>
            </w:r>
          </w:p>
        </w:tc>
        <w:tc>
          <w:tcPr>
            <w:tcW w:w="1381" w:type="dxa"/>
            <w:shd w:val="clear" w:color="auto" w:fill="CCFFFF"/>
            <w:vAlign w:val="top"/>
          </w:tcPr>
          <w:p w14:paraId="02BA2415">
            <w:pPr>
              <w:pStyle w:val="11"/>
              <w:spacing w:before="74"/>
              <w:ind w:left="354" w:right="347"/>
              <w:rPr>
                <w:sz w:val="21"/>
              </w:rPr>
            </w:pPr>
            <w:r>
              <w:rPr>
                <w:sz w:val="21"/>
              </w:rPr>
              <w:t>矿泉水</w:t>
            </w:r>
          </w:p>
        </w:tc>
        <w:tc>
          <w:tcPr>
            <w:tcW w:w="806" w:type="dxa"/>
            <w:shd w:val="clear" w:color="auto" w:fill="CCFFFF"/>
            <w:vAlign w:val="top"/>
          </w:tcPr>
          <w:p w14:paraId="2EFE3200">
            <w:pPr>
              <w:pStyle w:val="11"/>
              <w:spacing w:before="87"/>
              <w:ind w:left="275" w:right="270"/>
              <w:rPr>
                <w:rFonts w:ascii="Times New Roman"/>
                <w:sz w:val="21"/>
              </w:rPr>
            </w:pPr>
            <w:r>
              <w:rPr>
                <w:rFonts w:ascii="Times New Roman"/>
                <w:sz w:val="21"/>
              </w:rPr>
              <w:t>**</w:t>
            </w:r>
          </w:p>
        </w:tc>
        <w:tc>
          <w:tcPr>
            <w:tcW w:w="849" w:type="dxa"/>
            <w:shd w:val="clear" w:color="auto" w:fill="CCFFFF"/>
            <w:vAlign w:val="top"/>
          </w:tcPr>
          <w:p w14:paraId="42DE9680">
            <w:pPr>
              <w:pStyle w:val="11"/>
              <w:spacing w:before="87"/>
              <w:ind w:left="192" w:right="186"/>
              <w:rPr>
                <w:rFonts w:ascii="Times New Roman"/>
                <w:sz w:val="21"/>
              </w:rPr>
            </w:pPr>
            <w:r>
              <w:rPr>
                <w:rFonts w:ascii="Times New Roman"/>
                <w:sz w:val="21"/>
              </w:rPr>
              <w:t>**</w:t>
            </w:r>
          </w:p>
        </w:tc>
        <w:tc>
          <w:tcPr>
            <w:tcW w:w="766" w:type="dxa"/>
            <w:shd w:val="clear" w:color="auto" w:fill="CCFFFF"/>
            <w:vAlign w:val="top"/>
          </w:tcPr>
          <w:p w14:paraId="66DCF404">
            <w:pPr>
              <w:pStyle w:val="11"/>
              <w:spacing w:before="87"/>
              <w:ind w:left="152" w:right="143"/>
              <w:rPr>
                <w:rFonts w:ascii="Times New Roman"/>
                <w:sz w:val="21"/>
              </w:rPr>
            </w:pPr>
            <w:r>
              <w:rPr>
                <w:rFonts w:ascii="Times New Roman"/>
                <w:sz w:val="21"/>
              </w:rPr>
              <w:t>**</w:t>
            </w:r>
          </w:p>
        </w:tc>
        <w:tc>
          <w:tcPr>
            <w:tcW w:w="869" w:type="dxa"/>
            <w:shd w:val="clear" w:color="auto" w:fill="CCFFFF"/>
            <w:vAlign w:val="top"/>
          </w:tcPr>
          <w:p w14:paraId="1381A959">
            <w:pPr>
              <w:pStyle w:val="11"/>
              <w:spacing w:before="87"/>
              <w:ind w:left="202" w:right="196"/>
              <w:rPr>
                <w:rFonts w:ascii="Times New Roman"/>
                <w:sz w:val="21"/>
              </w:rPr>
            </w:pPr>
            <w:r>
              <w:rPr>
                <w:rFonts w:ascii="Times New Roman"/>
                <w:sz w:val="21"/>
              </w:rPr>
              <w:t>**</w:t>
            </w:r>
          </w:p>
        </w:tc>
        <w:tc>
          <w:tcPr>
            <w:tcW w:w="3356" w:type="dxa"/>
            <w:shd w:val="clear" w:color="auto" w:fill="CCFFFF"/>
            <w:vAlign w:val="top"/>
          </w:tcPr>
          <w:p w14:paraId="6D63D4D9">
            <w:pPr>
              <w:pStyle w:val="11"/>
              <w:spacing w:before="74"/>
              <w:ind w:left="187" w:right="179"/>
              <w:rPr>
                <w:sz w:val="21"/>
              </w:rPr>
            </w:pPr>
            <w:r>
              <w:rPr>
                <w:sz w:val="21"/>
              </w:rPr>
              <w:t>达家沟镇、大房身镇、菜园子镇</w:t>
            </w:r>
          </w:p>
        </w:tc>
      </w:tr>
      <w:tr w14:paraId="6F815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22" w:type="dxa"/>
            <w:shd w:val="clear" w:color="auto" w:fill="CCFFFF"/>
            <w:vAlign w:val="top"/>
          </w:tcPr>
          <w:p w14:paraId="4378900A">
            <w:pPr>
              <w:pStyle w:val="11"/>
              <w:spacing w:before="28"/>
              <w:ind w:left="130" w:right="122"/>
              <w:rPr>
                <w:sz w:val="21"/>
              </w:rPr>
            </w:pPr>
            <w:r>
              <w:rPr>
                <w:sz w:val="21"/>
              </w:rPr>
              <w:t>合计</w:t>
            </w:r>
          </w:p>
        </w:tc>
        <w:tc>
          <w:tcPr>
            <w:tcW w:w="1381" w:type="dxa"/>
            <w:shd w:val="clear" w:color="auto" w:fill="CCFFFF"/>
            <w:vAlign w:val="top"/>
          </w:tcPr>
          <w:p w14:paraId="24CFB372">
            <w:pPr>
              <w:pStyle w:val="11"/>
              <w:spacing w:before="44"/>
              <w:ind w:left="354" w:right="347"/>
              <w:rPr>
                <w:rFonts w:ascii="Times New Roman" w:hAnsi="Times New Roman"/>
                <w:sz w:val="21"/>
              </w:rPr>
            </w:pPr>
            <w:r>
              <w:rPr>
                <w:rFonts w:ascii="Times New Roman" w:hAnsi="Times New Roman"/>
                <w:sz w:val="21"/>
              </w:rPr>
              <w:t>——</w:t>
            </w:r>
          </w:p>
        </w:tc>
        <w:tc>
          <w:tcPr>
            <w:tcW w:w="806" w:type="dxa"/>
            <w:shd w:val="clear" w:color="auto" w:fill="CCFFFF"/>
            <w:vAlign w:val="top"/>
          </w:tcPr>
          <w:p w14:paraId="5A480EFD">
            <w:pPr>
              <w:pStyle w:val="11"/>
              <w:spacing w:before="44"/>
              <w:ind w:left="275" w:right="270"/>
              <w:rPr>
                <w:rFonts w:ascii="Times New Roman"/>
                <w:sz w:val="21"/>
              </w:rPr>
            </w:pPr>
            <w:r>
              <w:rPr>
                <w:rFonts w:ascii="Times New Roman"/>
                <w:sz w:val="21"/>
              </w:rPr>
              <w:t>**</w:t>
            </w:r>
          </w:p>
        </w:tc>
        <w:tc>
          <w:tcPr>
            <w:tcW w:w="849" w:type="dxa"/>
            <w:shd w:val="clear" w:color="auto" w:fill="CCFFFF"/>
            <w:vAlign w:val="top"/>
          </w:tcPr>
          <w:p w14:paraId="0ECB487D">
            <w:pPr>
              <w:pStyle w:val="11"/>
              <w:spacing w:before="44"/>
              <w:ind w:left="192" w:right="186"/>
              <w:rPr>
                <w:rFonts w:ascii="Times New Roman"/>
                <w:sz w:val="21"/>
              </w:rPr>
            </w:pPr>
            <w:r>
              <w:rPr>
                <w:rFonts w:ascii="Times New Roman"/>
                <w:sz w:val="21"/>
              </w:rPr>
              <w:t>**</w:t>
            </w:r>
          </w:p>
        </w:tc>
        <w:tc>
          <w:tcPr>
            <w:tcW w:w="766" w:type="dxa"/>
            <w:shd w:val="clear" w:color="auto" w:fill="CCFFFF"/>
            <w:vAlign w:val="top"/>
          </w:tcPr>
          <w:p w14:paraId="65F26335">
            <w:pPr>
              <w:pStyle w:val="11"/>
              <w:spacing w:before="44"/>
              <w:ind w:left="152" w:right="143"/>
              <w:rPr>
                <w:rFonts w:ascii="Times New Roman"/>
                <w:sz w:val="21"/>
              </w:rPr>
            </w:pPr>
            <w:r>
              <w:rPr>
                <w:rFonts w:ascii="Times New Roman"/>
                <w:sz w:val="21"/>
              </w:rPr>
              <w:t>**</w:t>
            </w:r>
          </w:p>
        </w:tc>
        <w:tc>
          <w:tcPr>
            <w:tcW w:w="869" w:type="dxa"/>
            <w:shd w:val="clear" w:color="auto" w:fill="CCFFFF"/>
            <w:vAlign w:val="top"/>
          </w:tcPr>
          <w:p w14:paraId="4953A574">
            <w:pPr>
              <w:pStyle w:val="11"/>
              <w:spacing w:before="44"/>
              <w:ind w:left="202" w:right="196"/>
              <w:rPr>
                <w:rFonts w:ascii="Times New Roman"/>
                <w:sz w:val="21"/>
              </w:rPr>
            </w:pPr>
            <w:r>
              <w:rPr>
                <w:rFonts w:ascii="Times New Roman"/>
                <w:sz w:val="21"/>
              </w:rPr>
              <w:t>**</w:t>
            </w:r>
          </w:p>
        </w:tc>
        <w:tc>
          <w:tcPr>
            <w:tcW w:w="3356" w:type="dxa"/>
            <w:shd w:val="clear" w:color="auto" w:fill="CCFFFF"/>
            <w:vAlign w:val="top"/>
          </w:tcPr>
          <w:p w14:paraId="1B1CFC5B">
            <w:pPr>
              <w:pStyle w:val="11"/>
              <w:spacing w:before="44"/>
              <w:ind w:left="187" w:right="179"/>
              <w:rPr>
                <w:rFonts w:ascii="Times New Roman" w:hAnsi="Times New Roman"/>
                <w:sz w:val="21"/>
              </w:rPr>
            </w:pPr>
            <w:r>
              <w:rPr>
                <w:rFonts w:ascii="Times New Roman" w:hAnsi="Times New Roman"/>
                <w:sz w:val="21"/>
              </w:rPr>
              <w:t>——</w:t>
            </w:r>
          </w:p>
        </w:tc>
      </w:tr>
    </w:tbl>
    <w:p w14:paraId="5EC71F0D">
      <w:pPr>
        <w:pStyle w:val="2"/>
        <w:spacing w:before="4"/>
        <w:rPr>
          <w:sz w:val="10"/>
        </w:rPr>
      </w:pPr>
    </w:p>
    <w:p w14:paraId="284BD3B3">
      <w:pPr>
        <w:spacing w:before="0" w:line="511" w:lineRule="exact"/>
        <w:ind w:left="820" w:right="0" w:firstLine="0"/>
        <w:jc w:val="left"/>
        <w:rPr>
          <w:sz w:val="30"/>
        </w:rPr>
      </w:pPr>
      <w:r>
        <w:rPr>
          <w:rFonts w:hint="eastAsia" w:ascii="Microsoft JhengHei" w:eastAsia="Microsoft JhengHei"/>
          <w:b/>
          <w:sz w:val="30"/>
        </w:rPr>
        <w:t>勘查规划区块管理措施</w:t>
      </w:r>
      <w:r>
        <w:rPr>
          <w:rFonts w:hint="eastAsia" w:ascii="Microsoft JhengHei"/>
          <w:b/>
          <w:sz w:val="30"/>
          <w:lang w:eastAsia="zh-CN"/>
        </w:rPr>
        <w:t>。</w:t>
      </w:r>
      <w:r>
        <w:rPr>
          <w:sz w:val="30"/>
        </w:rPr>
        <w:t>优先安排重点勘查区内的探矿权；为保</w:t>
      </w:r>
    </w:p>
    <w:p w14:paraId="1A288ADB">
      <w:pPr>
        <w:pStyle w:val="2"/>
        <w:spacing w:before="147" w:line="374" w:lineRule="auto"/>
        <w:ind w:left="220" w:right="107"/>
      </w:pPr>
      <w:r>
        <w:rPr>
          <w:spacing w:val="-12"/>
        </w:rPr>
        <w:t xml:space="preserve">持勘查信息的完整性，并充分考虑勘查结束后矿产资源开发布局要求， </w:t>
      </w:r>
      <w:r>
        <w:t>合理安排区块投放总量和投放时序，对新设探矿权一个勘查规划区块内只设置一个勘查主体；优先考虑对清洁能源矿种的勘查，优先投放重点勘查区内的探矿权。</w:t>
      </w:r>
    </w:p>
    <w:p w14:paraId="4FAC1C96">
      <w:pPr>
        <w:pStyle w:val="2"/>
        <w:spacing w:before="158"/>
        <w:ind w:right="38"/>
        <w:jc w:val="center"/>
        <w:rPr>
          <w:rFonts w:hint="eastAsia" w:ascii="黑体" w:eastAsia="黑体"/>
        </w:rPr>
      </w:pPr>
      <w:bookmarkStart w:id="28" w:name="第五节 开采规划区块"/>
      <w:bookmarkEnd w:id="28"/>
      <w:bookmarkStart w:id="29" w:name="_bookmark14"/>
      <w:bookmarkEnd w:id="29"/>
      <w:r>
        <w:rPr>
          <w:rFonts w:hint="eastAsia" w:ascii="黑体" w:eastAsia="黑体"/>
        </w:rPr>
        <w:t>第五节 开采规划区块</w:t>
      </w:r>
    </w:p>
    <w:p w14:paraId="49156ACD">
      <w:pPr>
        <w:pStyle w:val="2"/>
        <w:spacing w:before="191" w:line="600" w:lineRule="exact"/>
        <w:ind w:left="220" w:right="109" w:firstLine="600"/>
        <w:jc w:val="both"/>
      </w:pPr>
      <w:r>
        <w:rPr>
          <w:rFonts w:hint="eastAsia" w:ascii="Microsoft JhengHei" w:eastAsia="Microsoft JhengHei"/>
          <w:b/>
        </w:rPr>
        <w:t>开采规划区块设置</w:t>
      </w:r>
      <w:r>
        <w:rPr>
          <w:rFonts w:hint="eastAsia" w:ascii="Microsoft JhengHei"/>
          <w:b/>
          <w:lang w:eastAsia="zh-CN"/>
        </w:rPr>
        <w:t>。</w:t>
      </w:r>
      <w:r>
        <w:t>根据开采区块设置依据，结合矿床地质、构造、资源赋存等条件，综合产业政策、矿山开采方式和基础设施建设</w:t>
      </w:r>
      <w:r>
        <w:rPr>
          <w:spacing w:val="-8"/>
        </w:rPr>
        <w:t>条件，划定</w:t>
      </w:r>
      <w:r>
        <w:rPr>
          <w:rFonts w:ascii="Times New Roman" w:eastAsia="Times New Roman"/>
          <w:sz w:val="21"/>
        </w:rPr>
        <w:t>**</w:t>
      </w:r>
      <w:r>
        <w:rPr>
          <w:spacing w:val="-9"/>
        </w:rPr>
        <w:t>个开采规划区块，为建筑用砂开采规划区块。</w:t>
      </w:r>
      <w:r>
        <w:t>（</w:t>
      </w:r>
      <w:r>
        <w:rPr>
          <w:spacing w:val="-26"/>
        </w:rPr>
        <w:t xml:space="preserve">专栏 </w:t>
      </w:r>
      <w:r>
        <w:rPr>
          <w:rFonts w:ascii="Times New Roman" w:eastAsia="Times New Roman"/>
          <w:spacing w:val="-60"/>
        </w:rPr>
        <w:t>8</w:t>
      </w:r>
      <w:r>
        <w:rPr>
          <w:spacing w:val="-60"/>
        </w:rPr>
        <w:t>）</w:t>
      </w:r>
      <w:r>
        <w:rPr>
          <w:spacing w:val="-14"/>
        </w:rPr>
        <w:t>。</w:t>
      </w:r>
    </w:p>
    <w:p w14:paraId="623AEA06">
      <w:pPr>
        <w:pStyle w:val="2"/>
        <w:spacing w:before="8"/>
        <w:rPr>
          <w:sz w:val="18"/>
        </w:rPr>
      </w:pPr>
    </w:p>
    <w:tbl>
      <w:tblPr>
        <w:tblStyle w:val="3"/>
        <w:tblW w:w="9136" w:type="dxa"/>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0"/>
        <w:gridCol w:w="1984"/>
        <w:gridCol w:w="2410"/>
        <w:gridCol w:w="1984"/>
        <w:gridCol w:w="1568"/>
      </w:tblGrid>
      <w:tr w14:paraId="34270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136" w:type="dxa"/>
            <w:gridSpan w:val="5"/>
            <w:shd w:val="clear" w:color="auto" w:fill="99CCFF"/>
            <w:vAlign w:val="top"/>
          </w:tcPr>
          <w:p w14:paraId="236A8071">
            <w:pPr>
              <w:pStyle w:val="11"/>
              <w:tabs>
                <w:tab w:val="left" w:pos="1029"/>
              </w:tabs>
              <w:spacing w:before="70"/>
              <w:ind w:left="9"/>
              <w:rPr>
                <w:sz w:val="24"/>
              </w:rPr>
            </w:pPr>
            <w:r>
              <w:rPr>
                <w:sz w:val="24"/>
              </w:rPr>
              <w:t>专栏</w:t>
            </w:r>
            <w:r>
              <w:rPr>
                <w:spacing w:val="-60"/>
                <w:sz w:val="24"/>
              </w:rPr>
              <w:t xml:space="preserve"> </w:t>
            </w:r>
            <w:r>
              <w:rPr>
                <w:rFonts w:ascii="Times New Roman" w:eastAsia="Times New Roman"/>
                <w:sz w:val="24"/>
              </w:rPr>
              <w:t>8</w:t>
            </w:r>
            <w:r>
              <w:rPr>
                <w:rFonts w:ascii="Times New Roman" w:eastAsia="Times New Roman"/>
                <w:sz w:val="24"/>
              </w:rPr>
              <w:tab/>
            </w:r>
            <w:r>
              <w:rPr>
                <w:sz w:val="24"/>
              </w:rPr>
              <w:t>开采规划区块</w:t>
            </w:r>
          </w:p>
        </w:tc>
      </w:tr>
      <w:tr w14:paraId="73593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90" w:type="dxa"/>
            <w:shd w:val="clear" w:color="auto" w:fill="CCFFFF"/>
            <w:vAlign w:val="top"/>
          </w:tcPr>
          <w:p w14:paraId="65A1F17F">
            <w:pPr>
              <w:pStyle w:val="11"/>
              <w:spacing w:before="33"/>
              <w:ind w:left="362" w:right="358"/>
              <w:rPr>
                <w:sz w:val="21"/>
              </w:rPr>
            </w:pPr>
            <w:r>
              <w:rPr>
                <w:sz w:val="21"/>
              </w:rPr>
              <w:t>序号</w:t>
            </w:r>
          </w:p>
        </w:tc>
        <w:tc>
          <w:tcPr>
            <w:tcW w:w="1984" w:type="dxa"/>
            <w:shd w:val="clear" w:color="auto" w:fill="CCFFFF"/>
            <w:vAlign w:val="top"/>
          </w:tcPr>
          <w:p w14:paraId="6779EE74">
            <w:pPr>
              <w:pStyle w:val="11"/>
              <w:spacing w:before="33"/>
              <w:ind w:left="445" w:right="439"/>
              <w:rPr>
                <w:sz w:val="21"/>
              </w:rPr>
            </w:pPr>
            <w:r>
              <w:rPr>
                <w:sz w:val="21"/>
              </w:rPr>
              <w:t>开采矿种</w:t>
            </w:r>
          </w:p>
        </w:tc>
        <w:tc>
          <w:tcPr>
            <w:tcW w:w="2410" w:type="dxa"/>
            <w:shd w:val="clear" w:color="auto" w:fill="CCFFFF"/>
            <w:vAlign w:val="top"/>
          </w:tcPr>
          <w:p w14:paraId="3BDAE52C">
            <w:pPr>
              <w:pStyle w:val="11"/>
              <w:spacing w:before="33"/>
              <w:ind w:left="973" w:right="967"/>
              <w:rPr>
                <w:sz w:val="21"/>
              </w:rPr>
            </w:pPr>
            <w:r>
              <w:rPr>
                <w:sz w:val="21"/>
              </w:rPr>
              <w:t>数量</w:t>
            </w:r>
          </w:p>
        </w:tc>
        <w:tc>
          <w:tcPr>
            <w:tcW w:w="1984" w:type="dxa"/>
            <w:shd w:val="clear" w:color="auto" w:fill="CCFFFF"/>
            <w:vAlign w:val="top"/>
          </w:tcPr>
          <w:p w14:paraId="0D78CDE5">
            <w:pPr>
              <w:pStyle w:val="11"/>
              <w:spacing w:before="33"/>
              <w:ind w:left="445" w:right="439"/>
              <w:rPr>
                <w:sz w:val="21"/>
              </w:rPr>
            </w:pPr>
            <w:r>
              <w:rPr>
                <w:sz w:val="21"/>
              </w:rPr>
              <w:t>所在乡、镇</w:t>
            </w:r>
          </w:p>
        </w:tc>
        <w:tc>
          <w:tcPr>
            <w:tcW w:w="1568" w:type="dxa"/>
            <w:shd w:val="clear" w:color="auto" w:fill="CCFFFF"/>
            <w:vAlign w:val="top"/>
          </w:tcPr>
          <w:p w14:paraId="6628DA26">
            <w:pPr>
              <w:pStyle w:val="11"/>
              <w:spacing w:before="33"/>
              <w:ind w:left="448" w:right="439"/>
              <w:rPr>
                <w:sz w:val="21"/>
              </w:rPr>
            </w:pPr>
            <w:r>
              <w:rPr>
                <w:sz w:val="21"/>
              </w:rPr>
              <w:t>备注</w:t>
            </w:r>
          </w:p>
        </w:tc>
      </w:tr>
      <w:tr w14:paraId="0CE29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90" w:type="dxa"/>
            <w:shd w:val="clear" w:color="auto" w:fill="CCFFFF"/>
            <w:vAlign w:val="top"/>
          </w:tcPr>
          <w:p w14:paraId="5CF21511">
            <w:pPr>
              <w:pStyle w:val="11"/>
              <w:spacing w:before="49"/>
              <w:ind w:left="8"/>
              <w:rPr>
                <w:rFonts w:ascii="Times New Roman"/>
                <w:sz w:val="21"/>
              </w:rPr>
            </w:pPr>
            <w:r>
              <w:rPr>
                <w:rFonts w:ascii="Times New Roman"/>
                <w:w w:val="99"/>
                <w:sz w:val="21"/>
              </w:rPr>
              <w:t>1</w:t>
            </w:r>
          </w:p>
        </w:tc>
        <w:tc>
          <w:tcPr>
            <w:tcW w:w="1984" w:type="dxa"/>
            <w:shd w:val="clear" w:color="auto" w:fill="CCFFFF"/>
            <w:vAlign w:val="top"/>
          </w:tcPr>
          <w:p w14:paraId="037D98F0">
            <w:pPr>
              <w:pStyle w:val="11"/>
              <w:spacing w:before="33"/>
              <w:ind w:left="445" w:right="439"/>
              <w:rPr>
                <w:sz w:val="21"/>
              </w:rPr>
            </w:pPr>
            <w:r>
              <w:rPr>
                <w:sz w:val="21"/>
              </w:rPr>
              <w:t>建筑用砂</w:t>
            </w:r>
          </w:p>
        </w:tc>
        <w:tc>
          <w:tcPr>
            <w:tcW w:w="2410" w:type="dxa"/>
            <w:shd w:val="clear" w:color="auto" w:fill="CCFFFF"/>
            <w:vAlign w:val="top"/>
          </w:tcPr>
          <w:p w14:paraId="57767065">
            <w:pPr>
              <w:pStyle w:val="11"/>
              <w:spacing w:before="49"/>
              <w:ind w:left="973" w:right="966"/>
              <w:rPr>
                <w:rFonts w:ascii="Times New Roman"/>
                <w:sz w:val="21"/>
              </w:rPr>
            </w:pPr>
            <w:r>
              <w:rPr>
                <w:rFonts w:ascii="Times New Roman"/>
                <w:sz w:val="21"/>
              </w:rPr>
              <w:t>**</w:t>
            </w:r>
          </w:p>
        </w:tc>
        <w:tc>
          <w:tcPr>
            <w:tcW w:w="1984" w:type="dxa"/>
            <w:shd w:val="clear" w:color="auto" w:fill="CCFFFF"/>
            <w:vAlign w:val="top"/>
          </w:tcPr>
          <w:p w14:paraId="101C1DD8">
            <w:pPr>
              <w:pStyle w:val="11"/>
              <w:spacing w:before="33"/>
              <w:ind w:left="445" w:right="439"/>
              <w:rPr>
                <w:sz w:val="21"/>
              </w:rPr>
            </w:pPr>
            <w:r>
              <w:rPr>
                <w:sz w:val="21"/>
              </w:rPr>
              <w:t>松花江镇</w:t>
            </w:r>
          </w:p>
        </w:tc>
        <w:tc>
          <w:tcPr>
            <w:tcW w:w="1568" w:type="dxa"/>
            <w:shd w:val="clear" w:color="auto" w:fill="CCFFFF"/>
            <w:vAlign w:val="top"/>
          </w:tcPr>
          <w:p w14:paraId="7C890655">
            <w:pPr>
              <w:pStyle w:val="11"/>
              <w:spacing w:before="33"/>
              <w:ind w:left="448" w:right="439"/>
              <w:rPr>
                <w:sz w:val="21"/>
              </w:rPr>
            </w:pPr>
            <w:r>
              <w:rPr>
                <w:sz w:val="21"/>
              </w:rPr>
              <w:t>非河沙</w:t>
            </w:r>
          </w:p>
        </w:tc>
      </w:tr>
      <w:tr w14:paraId="2BBC2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90" w:type="dxa"/>
            <w:shd w:val="clear" w:color="auto" w:fill="CCFFFF"/>
            <w:vAlign w:val="top"/>
          </w:tcPr>
          <w:p w14:paraId="5D118E8B">
            <w:pPr>
              <w:pStyle w:val="11"/>
              <w:spacing w:before="33"/>
              <w:ind w:left="362" w:right="358"/>
              <w:rPr>
                <w:sz w:val="21"/>
              </w:rPr>
            </w:pPr>
            <w:r>
              <w:rPr>
                <w:sz w:val="21"/>
              </w:rPr>
              <w:t>合计</w:t>
            </w:r>
          </w:p>
        </w:tc>
        <w:tc>
          <w:tcPr>
            <w:tcW w:w="1984" w:type="dxa"/>
            <w:shd w:val="clear" w:color="auto" w:fill="CCFFFF"/>
            <w:vAlign w:val="top"/>
          </w:tcPr>
          <w:p w14:paraId="592550C7">
            <w:pPr>
              <w:pStyle w:val="11"/>
              <w:spacing w:before="50"/>
              <w:ind w:left="445" w:right="437"/>
              <w:rPr>
                <w:rFonts w:ascii="Times New Roman" w:hAnsi="Times New Roman"/>
                <w:sz w:val="21"/>
              </w:rPr>
            </w:pPr>
            <w:r>
              <w:rPr>
                <w:rFonts w:ascii="Times New Roman" w:hAnsi="Times New Roman"/>
                <w:sz w:val="21"/>
              </w:rPr>
              <w:t>——</w:t>
            </w:r>
          </w:p>
        </w:tc>
        <w:tc>
          <w:tcPr>
            <w:tcW w:w="2410" w:type="dxa"/>
            <w:shd w:val="clear" w:color="auto" w:fill="CCFFFF"/>
            <w:vAlign w:val="top"/>
          </w:tcPr>
          <w:p w14:paraId="4697F34C">
            <w:pPr>
              <w:pStyle w:val="11"/>
              <w:spacing w:before="50"/>
              <w:ind w:left="973" w:right="966"/>
              <w:rPr>
                <w:rFonts w:ascii="Times New Roman"/>
                <w:sz w:val="21"/>
              </w:rPr>
            </w:pPr>
            <w:r>
              <w:rPr>
                <w:rFonts w:ascii="Times New Roman"/>
                <w:sz w:val="21"/>
              </w:rPr>
              <w:t>**</w:t>
            </w:r>
          </w:p>
        </w:tc>
        <w:tc>
          <w:tcPr>
            <w:tcW w:w="1984" w:type="dxa"/>
            <w:shd w:val="clear" w:color="auto" w:fill="CCFFFF"/>
            <w:vAlign w:val="top"/>
          </w:tcPr>
          <w:p w14:paraId="1086BF3F">
            <w:pPr>
              <w:pStyle w:val="11"/>
              <w:spacing w:before="50"/>
              <w:ind w:left="445" w:right="436"/>
              <w:rPr>
                <w:rFonts w:ascii="Times New Roman" w:hAnsi="Times New Roman"/>
                <w:sz w:val="21"/>
              </w:rPr>
            </w:pPr>
            <w:r>
              <w:rPr>
                <w:rFonts w:ascii="Times New Roman" w:hAnsi="Times New Roman"/>
                <w:sz w:val="21"/>
              </w:rPr>
              <w:t>——</w:t>
            </w:r>
          </w:p>
        </w:tc>
        <w:tc>
          <w:tcPr>
            <w:tcW w:w="1568" w:type="dxa"/>
            <w:shd w:val="clear" w:color="auto" w:fill="CCFFFF"/>
            <w:vAlign w:val="top"/>
          </w:tcPr>
          <w:p w14:paraId="75EE6B03">
            <w:pPr>
              <w:pStyle w:val="11"/>
              <w:jc w:val="left"/>
              <w:rPr>
                <w:rFonts w:ascii="Times New Roman"/>
                <w:sz w:val="26"/>
              </w:rPr>
            </w:pPr>
          </w:p>
        </w:tc>
      </w:tr>
    </w:tbl>
    <w:p w14:paraId="783092E0">
      <w:pPr>
        <w:pStyle w:val="2"/>
        <w:spacing w:before="2" w:line="600" w:lineRule="exact"/>
        <w:ind w:left="220" w:right="256" w:firstLine="600"/>
        <w:jc w:val="both"/>
      </w:pPr>
      <w:r>
        <w:rPr>
          <w:rFonts w:hint="eastAsia" w:ascii="Microsoft JhengHei" w:eastAsia="Microsoft JhengHei"/>
          <w:b/>
        </w:rPr>
        <w:t>开采规划区块管理措施</w:t>
      </w:r>
      <w:r>
        <w:rPr>
          <w:rFonts w:hint="eastAsia" w:ascii="Microsoft JhengHei"/>
          <w:b/>
          <w:lang w:eastAsia="zh-CN"/>
        </w:rPr>
        <w:t>。</w:t>
      </w:r>
      <w:r>
        <w:t>原则上一个开采规划区块内只设置一个开采主体，严禁将矿产地化大为小分割出让；严格按照开采规划区块投放时序投放采矿权。对已设探矿权符合探转采要求的，视为符合规划。</w:t>
      </w:r>
    </w:p>
    <w:p w14:paraId="1C4A0A1A">
      <w:pPr>
        <w:spacing w:after="0" w:line="600" w:lineRule="exact"/>
        <w:jc w:val="both"/>
        <w:sectPr>
          <w:pgSz w:w="11910" w:h="16840"/>
          <w:pgMar w:top="1080" w:right="1180" w:bottom="1180" w:left="1220" w:header="0" w:footer="993" w:gutter="0"/>
          <w:cols w:space="720" w:num="1"/>
        </w:sectPr>
      </w:pPr>
    </w:p>
    <w:p w14:paraId="63198FE3">
      <w:pPr>
        <w:pStyle w:val="9"/>
        <w:tabs>
          <w:tab w:val="left" w:pos="1439"/>
        </w:tabs>
        <w:ind w:right="38"/>
      </w:pPr>
      <w:bookmarkStart w:id="30" w:name="_bookmark15"/>
      <w:bookmarkEnd w:id="30"/>
      <w:bookmarkStart w:id="31" w:name="第四章  矿产资源勘查开发利用与保护"/>
      <w:bookmarkEnd w:id="31"/>
      <w:r>
        <w:t>第四章</w:t>
      </w:r>
      <w:r>
        <w:tab/>
      </w:r>
      <w:r>
        <w:t>矿产资源勘查开发利用与保护</w:t>
      </w:r>
    </w:p>
    <w:p w14:paraId="43732A29">
      <w:pPr>
        <w:pStyle w:val="2"/>
        <w:spacing w:before="275"/>
        <w:ind w:right="38"/>
        <w:jc w:val="center"/>
        <w:rPr>
          <w:rFonts w:hint="eastAsia" w:ascii="黑体" w:eastAsia="黑体"/>
        </w:rPr>
      </w:pPr>
      <w:bookmarkStart w:id="32" w:name="_bookmark16"/>
      <w:bookmarkEnd w:id="32"/>
      <w:bookmarkStart w:id="33" w:name="第一节 合理确定开发强度"/>
      <w:bookmarkEnd w:id="33"/>
      <w:r>
        <w:rPr>
          <w:rFonts w:hint="eastAsia" w:ascii="黑体" w:eastAsia="黑体"/>
        </w:rPr>
        <w:t>第一节 合理确定开发强度</w:t>
      </w:r>
    </w:p>
    <w:p w14:paraId="69C5FF8E">
      <w:pPr>
        <w:pStyle w:val="2"/>
        <w:rPr>
          <w:rFonts w:ascii="黑体"/>
          <w:sz w:val="29"/>
        </w:rPr>
      </w:pPr>
    </w:p>
    <w:p w14:paraId="52AE3373">
      <w:pPr>
        <w:pStyle w:val="2"/>
        <w:spacing w:line="374" w:lineRule="auto"/>
        <w:ind w:left="220" w:right="258" w:firstLine="600"/>
        <w:jc w:val="both"/>
      </w:pPr>
      <w:r>
        <w:rPr>
          <w:rFonts w:ascii="宋体" w:hAnsi="宋体" w:eastAsia="宋体" w:cs="宋体"/>
          <w:sz w:val="30"/>
          <w:szCs w:val="30"/>
          <w:lang w:val="en-US" w:eastAsia="en-US" w:bidi="ar-SA"/>
        </w:rPr>
        <w:pict>
          <v:shape id="文本框 1028" o:spid="_x0000_s1029" o:spt="202" type="#_x0000_t202" style="position:absolute;left:0pt;margin-left:78.7pt;margin-top:110.9pt;height:93.4pt;width:438.2pt;mso-position-horizontal-relative:pag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tbl>
                  <w:tblPr>
                    <w:tblStyle w:val="3"/>
                    <w:tblW w:w="87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4"/>
                    <w:gridCol w:w="1311"/>
                    <w:gridCol w:w="1302"/>
                    <w:gridCol w:w="877"/>
                    <w:gridCol w:w="1020"/>
                    <w:gridCol w:w="870"/>
                    <w:gridCol w:w="1069"/>
                    <w:gridCol w:w="1906"/>
                  </w:tblGrid>
                  <w:tr w14:paraId="132D2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8749" w:type="dxa"/>
                        <w:gridSpan w:val="8"/>
                        <w:shd w:val="clear" w:color="auto" w:fill="99CCFF"/>
                        <w:vAlign w:val="top"/>
                      </w:tcPr>
                      <w:p w14:paraId="740A8930">
                        <w:pPr>
                          <w:pStyle w:val="11"/>
                          <w:tabs>
                            <w:tab w:val="left" w:pos="1028"/>
                          </w:tabs>
                          <w:spacing w:before="76"/>
                          <w:ind w:left="8"/>
                          <w:rPr>
                            <w:sz w:val="24"/>
                          </w:rPr>
                        </w:pPr>
                        <w:r>
                          <w:rPr>
                            <w:sz w:val="24"/>
                          </w:rPr>
                          <w:t>专栏</w:t>
                        </w:r>
                        <w:r>
                          <w:rPr>
                            <w:spacing w:val="-60"/>
                            <w:sz w:val="24"/>
                          </w:rPr>
                          <w:t xml:space="preserve"> </w:t>
                        </w:r>
                        <w:r>
                          <w:rPr>
                            <w:rFonts w:ascii="Times New Roman" w:eastAsia="Times New Roman"/>
                            <w:sz w:val="24"/>
                          </w:rPr>
                          <w:t>9</w:t>
                        </w:r>
                        <w:r>
                          <w:rPr>
                            <w:rFonts w:ascii="Times New Roman" w:eastAsia="Times New Roman"/>
                            <w:sz w:val="24"/>
                          </w:rPr>
                          <w:tab/>
                        </w:r>
                        <w:r>
                          <w:rPr>
                            <w:sz w:val="24"/>
                          </w:rPr>
                          <w:t>重点开采矿种矿山数量和开采总量指标</w:t>
                        </w:r>
                      </w:p>
                    </w:tc>
                  </w:tr>
                  <w:tr w14:paraId="4AE67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94" w:type="dxa"/>
                        <w:vMerge w:val="restart"/>
                        <w:shd w:val="clear" w:color="auto" w:fill="CCFFFF"/>
                        <w:vAlign w:val="top"/>
                      </w:tcPr>
                      <w:p w14:paraId="18AFEE86">
                        <w:pPr>
                          <w:pStyle w:val="11"/>
                          <w:spacing w:before="6" w:line="310" w:lineRule="atLeast"/>
                          <w:ind w:left="107" w:right="65"/>
                          <w:jc w:val="left"/>
                          <w:rPr>
                            <w:sz w:val="21"/>
                          </w:rPr>
                        </w:pPr>
                        <w:r>
                          <w:rPr>
                            <w:sz w:val="21"/>
                          </w:rPr>
                          <w:t>序号</w:t>
                        </w:r>
                      </w:p>
                    </w:tc>
                    <w:tc>
                      <w:tcPr>
                        <w:tcW w:w="1311" w:type="dxa"/>
                        <w:vMerge w:val="restart"/>
                        <w:shd w:val="clear" w:color="auto" w:fill="CCFFFF"/>
                        <w:vAlign w:val="top"/>
                      </w:tcPr>
                      <w:p w14:paraId="53CEFF03">
                        <w:pPr>
                          <w:pStyle w:val="11"/>
                          <w:spacing w:before="11"/>
                          <w:jc w:val="left"/>
                          <w:rPr>
                            <w:sz w:val="15"/>
                          </w:rPr>
                        </w:pPr>
                      </w:p>
                      <w:p w14:paraId="61BEC496">
                        <w:pPr>
                          <w:pStyle w:val="11"/>
                          <w:ind w:left="210" w:right="207"/>
                          <w:rPr>
                            <w:sz w:val="21"/>
                          </w:rPr>
                        </w:pPr>
                        <w:r>
                          <w:rPr>
                            <w:sz w:val="21"/>
                          </w:rPr>
                          <w:t>矿种</w:t>
                        </w:r>
                      </w:p>
                    </w:tc>
                    <w:tc>
                      <w:tcPr>
                        <w:tcW w:w="1302" w:type="dxa"/>
                        <w:vMerge w:val="restart"/>
                        <w:shd w:val="clear" w:color="auto" w:fill="CCFFFF"/>
                        <w:vAlign w:val="top"/>
                      </w:tcPr>
                      <w:p w14:paraId="0B4AA61B">
                        <w:pPr>
                          <w:pStyle w:val="11"/>
                          <w:spacing w:before="11"/>
                          <w:jc w:val="left"/>
                          <w:rPr>
                            <w:sz w:val="15"/>
                          </w:rPr>
                        </w:pPr>
                      </w:p>
                      <w:p w14:paraId="579266A6">
                        <w:pPr>
                          <w:pStyle w:val="11"/>
                          <w:ind w:left="231"/>
                          <w:jc w:val="left"/>
                          <w:rPr>
                            <w:sz w:val="21"/>
                          </w:rPr>
                        </w:pPr>
                        <w:r>
                          <w:rPr>
                            <w:sz w:val="21"/>
                          </w:rPr>
                          <w:t>产量单位</w:t>
                        </w:r>
                      </w:p>
                    </w:tc>
                    <w:tc>
                      <w:tcPr>
                        <w:tcW w:w="1897" w:type="dxa"/>
                        <w:gridSpan w:val="2"/>
                        <w:shd w:val="clear" w:color="auto" w:fill="CCFFFF"/>
                        <w:vAlign w:val="top"/>
                      </w:tcPr>
                      <w:p w14:paraId="2F927AAD">
                        <w:pPr>
                          <w:pStyle w:val="11"/>
                          <w:spacing w:before="35"/>
                          <w:ind w:left="607"/>
                          <w:jc w:val="left"/>
                          <w:rPr>
                            <w:sz w:val="21"/>
                          </w:rPr>
                        </w:pPr>
                        <w:r>
                          <w:rPr>
                            <w:rFonts w:ascii="Times New Roman" w:eastAsia="Times New Roman"/>
                            <w:sz w:val="21"/>
                          </w:rPr>
                          <w:t xml:space="preserve">2020 </w:t>
                        </w:r>
                        <w:r>
                          <w:rPr>
                            <w:sz w:val="21"/>
                          </w:rPr>
                          <w:t>年</w:t>
                        </w:r>
                      </w:p>
                    </w:tc>
                    <w:tc>
                      <w:tcPr>
                        <w:tcW w:w="1939" w:type="dxa"/>
                        <w:gridSpan w:val="2"/>
                        <w:shd w:val="clear" w:color="auto" w:fill="CCFFFF"/>
                        <w:vAlign w:val="top"/>
                      </w:tcPr>
                      <w:p w14:paraId="398A4F55">
                        <w:pPr>
                          <w:pStyle w:val="11"/>
                          <w:spacing w:before="35"/>
                          <w:ind w:left="627"/>
                          <w:jc w:val="left"/>
                          <w:rPr>
                            <w:sz w:val="21"/>
                          </w:rPr>
                        </w:pPr>
                        <w:r>
                          <w:rPr>
                            <w:rFonts w:ascii="Times New Roman" w:eastAsia="Times New Roman"/>
                            <w:sz w:val="21"/>
                          </w:rPr>
                          <w:t xml:space="preserve">2025 </w:t>
                        </w:r>
                        <w:r>
                          <w:rPr>
                            <w:sz w:val="21"/>
                          </w:rPr>
                          <w:t>年</w:t>
                        </w:r>
                      </w:p>
                    </w:tc>
                    <w:tc>
                      <w:tcPr>
                        <w:tcW w:w="1906" w:type="dxa"/>
                        <w:vMerge w:val="restart"/>
                        <w:shd w:val="clear" w:color="auto" w:fill="CCFFFF"/>
                        <w:vAlign w:val="top"/>
                      </w:tcPr>
                      <w:p w14:paraId="31E457AA">
                        <w:pPr>
                          <w:pStyle w:val="11"/>
                          <w:spacing w:before="11"/>
                          <w:jc w:val="left"/>
                          <w:rPr>
                            <w:sz w:val="15"/>
                          </w:rPr>
                        </w:pPr>
                      </w:p>
                      <w:p w14:paraId="0685699C">
                        <w:pPr>
                          <w:pStyle w:val="11"/>
                          <w:ind w:left="323"/>
                          <w:jc w:val="left"/>
                          <w:rPr>
                            <w:sz w:val="21"/>
                          </w:rPr>
                        </w:pPr>
                        <w:r>
                          <w:rPr>
                            <w:sz w:val="21"/>
                          </w:rPr>
                          <w:t>调控指标类型</w:t>
                        </w:r>
                      </w:p>
                    </w:tc>
                  </w:tr>
                  <w:tr w14:paraId="2AE4C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394" w:type="dxa"/>
                        <w:vMerge w:val="continue"/>
                        <w:tcBorders>
                          <w:top w:val="nil"/>
                        </w:tcBorders>
                        <w:shd w:val="clear" w:color="auto" w:fill="CCFFFF"/>
                        <w:vAlign w:val="top"/>
                      </w:tcPr>
                      <w:p w14:paraId="0AC7A96C">
                        <w:pPr>
                          <w:rPr>
                            <w:sz w:val="2"/>
                            <w:szCs w:val="2"/>
                          </w:rPr>
                        </w:pPr>
                      </w:p>
                    </w:tc>
                    <w:tc>
                      <w:tcPr>
                        <w:tcW w:w="1311" w:type="dxa"/>
                        <w:vMerge w:val="continue"/>
                        <w:tcBorders>
                          <w:top w:val="nil"/>
                        </w:tcBorders>
                        <w:shd w:val="clear" w:color="auto" w:fill="CCFFFF"/>
                        <w:vAlign w:val="top"/>
                      </w:tcPr>
                      <w:p w14:paraId="7F357167">
                        <w:pPr>
                          <w:rPr>
                            <w:sz w:val="2"/>
                            <w:szCs w:val="2"/>
                          </w:rPr>
                        </w:pPr>
                      </w:p>
                    </w:tc>
                    <w:tc>
                      <w:tcPr>
                        <w:tcW w:w="1302" w:type="dxa"/>
                        <w:vMerge w:val="continue"/>
                        <w:tcBorders>
                          <w:top w:val="nil"/>
                        </w:tcBorders>
                        <w:shd w:val="clear" w:color="auto" w:fill="CCFFFF"/>
                        <w:vAlign w:val="top"/>
                      </w:tcPr>
                      <w:p w14:paraId="165B9C5D">
                        <w:pPr>
                          <w:rPr>
                            <w:sz w:val="2"/>
                            <w:szCs w:val="2"/>
                          </w:rPr>
                        </w:pPr>
                      </w:p>
                    </w:tc>
                    <w:tc>
                      <w:tcPr>
                        <w:tcW w:w="877" w:type="dxa"/>
                        <w:shd w:val="clear" w:color="auto" w:fill="CCFFFF"/>
                        <w:vAlign w:val="top"/>
                      </w:tcPr>
                      <w:p w14:paraId="0EE397E1">
                        <w:pPr>
                          <w:pStyle w:val="11"/>
                          <w:spacing w:before="28"/>
                          <w:ind w:left="207" w:right="200"/>
                          <w:rPr>
                            <w:sz w:val="21"/>
                          </w:rPr>
                        </w:pPr>
                        <w:r>
                          <w:rPr>
                            <w:sz w:val="21"/>
                          </w:rPr>
                          <w:t>产量</w:t>
                        </w:r>
                      </w:p>
                    </w:tc>
                    <w:tc>
                      <w:tcPr>
                        <w:tcW w:w="1020" w:type="dxa"/>
                        <w:shd w:val="clear" w:color="auto" w:fill="CCFFFF"/>
                        <w:vAlign w:val="top"/>
                      </w:tcPr>
                      <w:p w14:paraId="4EB1690F">
                        <w:pPr>
                          <w:pStyle w:val="11"/>
                          <w:spacing w:before="28"/>
                          <w:ind w:left="173" w:right="167"/>
                          <w:rPr>
                            <w:sz w:val="21"/>
                          </w:rPr>
                        </w:pPr>
                        <w:r>
                          <w:rPr>
                            <w:sz w:val="21"/>
                          </w:rPr>
                          <w:t>矿山数</w:t>
                        </w:r>
                      </w:p>
                    </w:tc>
                    <w:tc>
                      <w:tcPr>
                        <w:tcW w:w="870" w:type="dxa"/>
                        <w:shd w:val="clear" w:color="auto" w:fill="CCFFFF"/>
                        <w:vAlign w:val="top"/>
                      </w:tcPr>
                      <w:p w14:paraId="0AEF844F">
                        <w:pPr>
                          <w:pStyle w:val="11"/>
                          <w:spacing w:before="28"/>
                          <w:ind w:left="203" w:right="196"/>
                          <w:rPr>
                            <w:sz w:val="21"/>
                          </w:rPr>
                        </w:pPr>
                        <w:r>
                          <w:rPr>
                            <w:sz w:val="21"/>
                          </w:rPr>
                          <w:t>产量</w:t>
                        </w:r>
                      </w:p>
                    </w:tc>
                    <w:tc>
                      <w:tcPr>
                        <w:tcW w:w="1069" w:type="dxa"/>
                        <w:shd w:val="clear" w:color="auto" w:fill="CCFFFF"/>
                        <w:vAlign w:val="top"/>
                      </w:tcPr>
                      <w:p w14:paraId="6D7AAFF7">
                        <w:pPr>
                          <w:pStyle w:val="11"/>
                          <w:spacing w:before="28"/>
                          <w:ind w:left="198" w:right="191"/>
                          <w:rPr>
                            <w:sz w:val="21"/>
                          </w:rPr>
                        </w:pPr>
                        <w:r>
                          <w:rPr>
                            <w:sz w:val="21"/>
                          </w:rPr>
                          <w:t>矿山数</w:t>
                        </w:r>
                      </w:p>
                    </w:tc>
                    <w:tc>
                      <w:tcPr>
                        <w:tcW w:w="1906" w:type="dxa"/>
                        <w:vMerge w:val="continue"/>
                        <w:tcBorders>
                          <w:top w:val="nil"/>
                        </w:tcBorders>
                        <w:shd w:val="clear" w:color="auto" w:fill="CCFFFF"/>
                        <w:vAlign w:val="top"/>
                      </w:tcPr>
                      <w:p w14:paraId="6DDCD700">
                        <w:pPr>
                          <w:rPr>
                            <w:sz w:val="2"/>
                            <w:szCs w:val="2"/>
                          </w:rPr>
                        </w:pPr>
                      </w:p>
                    </w:tc>
                  </w:tr>
                  <w:tr w14:paraId="68ED4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94" w:type="dxa"/>
                        <w:shd w:val="clear" w:color="auto" w:fill="CCFFFF"/>
                        <w:vAlign w:val="top"/>
                      </w:tcPr>
                      <w:p w14:paraId="7491D36B">
                        <w:pPr>
                          <w:pStyle w:val="11"/>
                          <w:spacing w:before="49"/>
                          <w:ind w:left="8"/>
                          <w:rPr>
                            <w:rFonts w:ascii="Times New Roman"/>
                            <w:sz w:val="21"/>
                          </w:rPr>
                        </w:pPr>
                        <w:r>
                          <w:rPr>
                            <w:rFonts w:ascii="Times New Roman"/>
                            <w:w w:val="99"/>
                            <w:sz w:val="21"/>
                          </w:rPr>
                          <w:t>1</w:t>
                        </w:r>
                      </w:p>
                    </w:tc>
                    <w:tc>
                      <w:tcPr>
                        <w:tcW w:w="1311" w:type="dxa"/>
                        <w:shd w:val="clear" w:color="auto" w:fill="CCFFFF"/>
                        <w:vAlign w:val="top"/>
                      </w:tcPr>
                      <w:p w14:paraId="22E127BA">
                        <w:pPr>
                          <w:pStyle w:val="11"/>
                          <w:spacing w:before="35"/>
                          <w:ind w:left="213" w:right="207"/>
                          <w:rPr>
                            <w:sz w:val="21"/>
                          </w:rPr>
                        </w:pPr>
                        <w:r>
                          <w:rPr>
                            <w:sz w:val="21"/>
                          </w:rPr>
                          <w:t>建筑用砂</w:t>
                        </w:r>
                      </w:p>
                    </w:tc>
                    <w:tc>
                      <w:tcPr>
                        <w:tcW w:w="1302" w:type="dxa"/>
                        <w:shd w:val="clear" w:color="auto" w:fill="CCFFFF"/>
                        <w:vAlign w:val="top"/>
                      </w:tcPr>
                      <w:p w14:paraId="7966DA50">
                        <w:pPr>
                          <w:pStyle w:val="11"/>
                          <w:spacing w:before="35"/>
                          <w:ind w:left="210" w:right="201"/>
                          <w:rPr>
                            <w:sz w:val="21"/>
                          </w:rPr>
                        </w:pPr>
                        <w:r>
                          <w:rPr>
                            <w:sz w:val="21"/>
                          </w:rPr>
                          <w:t>万吨</w:t>
                        </w:r>
                      </w:p>
                    </w:tc>
                    <w:tc>
                      <w:tcPr>
                        <w:tcW w:w="877" w:type="dxa"/>
                        <w:shd w:val="clear" w:color="auto" w:fill="CCFFFF"/>
                        <w:vAlign w:val="top"/>
                      </w:tcPr>
                      <w:p w14:paraId="228B03CE">
                        <w:pPr>
                          <w:pStyle w:val="11"/>
                          <w:spacing w:before="35"/>
                          <w:ind w:left="9"/>
                          <w:rPr>
                            <w:sz w:val="21"/>
                          </w:rPr>
                        </w:pPr>
                        <w:r>
                          <w:rPr>
                            <w:w w:val="99"/>
                            <w:sz w:val="21"/>
                          </w:rPr>
                          <w:t>－</w:t>
                        </w:r>
                      </w:p>
                    </w:tc>
                    <w:tc>
                      <w:tcPr>
                        <w:tcW w:w="1020" w:type="dxa"/>
                        <w:shd w:val="clear" w:color="auto" w:fill="CCFFFF"/>
                        <w:vAlign w:val="top"/>
                      </w:tcPr>
                      <w:p w14:paraId="06EB1637">
                        <w:pPr>
                          <w:pStyle w:val="11"/>
                          <w:spacing w:before="35"/>
                          <w:ind w:left="8"/>
                          <w:rPr>
                            <w:sz w:val="21"/>
                          </w:rPr>
                        </w:pPr>
                        <w:r>
                          <w:rPr>
                            <w:w w:val="99"/>
                            <w:sz w:val="21"/>
                          </w:rPr>
                          <w:t>－</w:t>
                        </w:r>
                      </w:p>
                    </w:tc>
                    <w:tc>
                      <w:tcPr>
                        <w:tcW w:w="870" w:type="dxa"/>
                        <w:shd w:val="clear" w:color="auto" w:fill="CCFFFF"/>
                        <w:vAlign w:val="top"/>
                      </w:tcPr>
                      <w:p w14:paraId="5BBC0D53">
                        <w:pPr>
                          <w:pStyle w:val="11"/>
                          <w:spacing w:before="49"/>
                          <w:ind w:left="203" w:right="195"/>
                          <w:rPr>
                            <w:rFonts w:ascii="Times New Roman"/>
                            <w:sz w:val="21"/>
                          </w:rPr>
                        </w:pPr>
                        <w:r>
                          <w:rPr>
                            <w:rFonts w:ascii="Times New Roman"/>
                            <w:sz w:val="21"/>
                          </w:rPr>
                          <w:t>**</w:t>
                        </w:r>
                      </w:p>
                    </w:tc>
                    <w:tc>
                      <w:tcPr>
                        <w:tcW w:w="1069" w:type="dxa"/>
                        <w:shd w:val="clear" w:color="auto" w:fill="CCFFFF"/>
                        <w:vAlign w:val="top"/>
                      </w:tcPr>
                      <w:p w14:paraId="10093401">
                        <w:pPr>
                          <w:pStyle w:val="11"/>
                          <w:spacing w:before="49"/>
                          <w:ind w:left="194" w:right="191"/>
                          <w:rPr>
                            <w:rFonts w:ascii="Times New Roman"/>
                            <w:sz w:val="21"/>
                          </w:rPr>
                        </w:pPr>
                        <w:r>
                          <w:rPr>
                            <w:rFonts w:ascii="Times New Roman"/>
                            <w:sz w:val="21"/>
                          </w:rPr>
                          <w:t>**</w:t>
                        </w:r>
                      </w:p>
                    </w:tc>
                    <w:tc>
                      <w:tcPr>
                        <w:tcW w:w="1906" w:type="dxa"/>
                        <w:shd w:val="clear" w:color="auto" w:fill="CCFFFF"/>
                        <w:vAlign w:val="top"/>
                      </w:tcPr>
                      <w:p w14:paraId="52759492">
                        <w:pPr>
                          <w:pStyle w:val="11"/>
                          <w:spacing w:before="35"/>
                          <w:ind w:left="617" w:right="609"/>
                          <w:rPr>
                            <w:sz w:val="21"/>
                          </w:rPr>
                        </w:pPr>
                        <w:r>
                          <w:rPr>
                            <w:sz w:val="21"/>
                          </w:rPr>
                          <w:t>预期性</w:t>
                        </w:r>
                      </w:p>
                    </w:tc>
                  </w:tr>
                  <w:tr w14:paraId="0EA5A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94" w:type="dxa"/>
                        <w:shd w:val="clear" w:color="auto" w:fill="CCFFFF"/>
                        <w:vAlign w:val="top"/>
                      </w:tcPr>
                      <w:p w14:paraId="591E8FD5">
                        <w:pPr>
                          <w:pStyle w:val="11"/>
                          <w:spacing w:before="49"/>
                          <w:ind w:left="8"/>
                          <w:rPr>
                            <w:rFonts w:ascii="Times New Roman"/>
                            <w:sz w:val="21"/>
                          </w:rPr>
                        </w:pPr>
                        <w:r>
                          <w:rPr>
                            <w:rFonts w:ascii="Times New Roman"/>
                            <w:w w:val="99"/>
                            <w:sz w:val="21"/>
                          </w:rPr>
                          <w:t>2</w:t>
                        </w:r>
                      </w:p>
                    </w:tc>
                    <w:tc>
                      <w:tcPr>
                        <w:tcW w:w="1311" w:type="dxa"/>
                        <w:shd w:val="clear" w:color="auto" w:fill="CCFFFF"/>
                        <w:vAlign w:val="top"/>
                      </w:tcPr>
                      <w:p w14:paraId="6EEC2302">
                        <w:pPr>
                          <w:pStyle w:val="11"/>
                          <w:spacing w:before="33"/>
                          <w:ind w:left="213" w:right="205"/>
                          <w:rPr>
                            <w:sz w:val="21"/>
                          </w:rPr>
                        </w:pPr>
                        <w:r>
                          <w:rPr>
                            <w:sz w:val="21"/>
                          </w:rPr>
                          <w:t>矿泉水</w:t>
                        </w:r>
                      </w:p>
                    </w:tc>
                    <w:tc>
                      <w:tcPr>
                        <w:tcW w:w="1302" w:type="dxa"/>
                        <w:shd w:val="clear" w:color="auto" w:fill="CCFFFF"/>
                        <w:vAlign w:val="top"/>
                      </w:tcPr>
                      <w:p w14:paraId="5D93A25A">
                        <w:pPr>
                          <w:pStyle w:val="11"/>
                          <w:spacing w:before="35"/>
                          <w:ind w:left="210" w:right="201"/>
                          <w:rPr>
                            <w:sz w:val="21"/>
                          </w:rPr>
                        </w:pPr>
                        <w:r>
                          <w:rPr>
                            <w:sz w:val="21"/>
                          </w:rPr>
                          <w:t>万立方米</w:t>
                        </w:r>
                      </w:p>
                    </w:tc>
                    <w:tc>
                      <w:tcPr>
                        <w:tcW w:w="877" w:type="dxa"/>
                        <w:shd w:val="clear" w:color="auto" w:fill="CCFFFF"/>
                        <w:vAlign w:val="top"/>
                      </w:tcPr>
                      <w:p w14:paraId="27076437">
                        <w:pPr>
                          <w:pStyle w:val="11"/>
                          <w:spacing w:before="49"/>
                          <w:ind w:left="207" w:right="197"/>
                          <w:rPr>
                            <w:rFonts w:ascii="Times New Roman"/>
                            <w:sz w:val="21"/>
                          </w:rPr>
                        </w:pPr>
                        <w:r>
                          <w:rPr>
                            <w:rFonts w:ascii="Times New Roman"/>
                            <w:sz w:val="21"/>
                          </w:rPr>
                          <w:t>0.38</w:t>
                        </w:r>
                      </w:p>
                    </w:tc>
                    <w:tc>
                      <w:tcPr>
                        <w:tcW w:w="1020" w:type="dxa"/>
                        <w:shd w:val="clear" w:color="auto" w:fill="CCFFFF"/>
                        <w:vAlign w:val="top"/>
                      </w:tcPr>
                      <w:p w14:paraId="5ADD7450">
                        <w:pPr>
                          <w:pStyle w:val="11"/>
                          <w:spacing w:before="49"/>
                          <w:ind w:left="9"/>
                          <w:rPr>
                            <w:rFonts w:ascii="Times New Roman"/>
                            <w:sz w:val="21"/>
                          </w:rPr>
                        </w:pPr>
                        <w:r>
                          <w:rPr>
                            <w:rFonts w:ascii="Times New Roman"/>
                            <w:w w:val="99"/>
                            <w:sz w:val="21"/>
                          </w:rPr>
                          <w:t>2</w:t>
                        </w:r>
                      </w:p>
                    </w:tc>
                    <w:tc>
                      <w:tcPr>
                        <w:tcW w:w="870" w:type="dxa"/>
                        <w:shd w:val="clear" w:color="auto" w:fill="CCFFFF"/>
                        <w:vAlign w:val="top"/>
                      </w:tcPr>
                      <w:p w14:paraId="5E09B8A7">
                        <w:pPr>
                          <w:pStyle w:val="11"/>
                          <w:spacing w:before="49"/>
                          <w:ind w:left="203" w:right="195"/>
                          <w:rPr>
                            <w:rFonts w:ascii="Times New Roman"/>
                            <w:sz w:val="21"/>
                          </w:rPr>
                        </w:pPr>
                        <w:r>
                          <w:rPr>
                            <w:rFonts w:ascii="Times New Roman"/>
                            <w:sz w:val="21"/>
                          </w:rPr>
                          <w:t>**</w:t>
                        </w:r>
                      </w:p>
                    </w:tc>
                    <w:tc>
                      <w:tcPr>
                        <w:tcW w:w="1069" w:type="dxa"/>
                        <w:shd w:val="clear" w:color="auto" w:fill="CCFFFF"/>
                        <w:vAlign w:val="top"/>
                      </w:tcPr>
                      <w:p w14:paraId="217EBDA7">
                        <w:pPr>
                          <w:pStyle w:val="11"/>
                          <w:spacing w:before="49"/>
                          <w:ind w:left="194" w:right="191"/>
                          <w:rPr>
                            <w:rFonts w:ascii="Times New Roman"/>
                            <w:sz w:val="21"/>
                          </w:rPr>
                        </w:pPr>
                        <w:r>
                          <w:rPr>
                            <w:rFonts w:ascii="Times New Roman"/>
                            <w:sz w:val="21"/>
                          </w:rPr>
                          <w:t>**</w:t>
                        </w:r>
                      </w:p>
                    </w:tc>
                    <w:tc>
                      <w:tcPr>
                        <w:tcW w:w="1906" w:type="dxa"/>
                        <w:shd w:val="clear" w:color="auto" w:fill="CCFFFF"/>
                        <w:vAlign w:val="top"/>
                      </w:tcPr>
                      <w:p w14:paraId="41CB209A">
                        <w:pPr>
                          <w:pStyle w:val="11"/>
                          <w:spacing w:before="35"/>
                          <w:ind w:left="617" w:right="609"/>
                          <w:rPr>
                            <w:sz w:val="21"/>
                          </w:rPr>
                        </w:pPr>
                        <w:r>
                          <w:rPr>
                            <w:sz w:val="21"/>
                          </w:rPr>
                          <w:t>预期性</w:t>
                        </w:r>
                      </w:p>
                    </w:tc>
                  </w:tr>
                </w:tbl>
                <w:p w14:paraId="525068EF">
                  <w:pPr>
                    <w:pStyle w:val="2"/>
                  </w:pPr>
                </w:p>
              </w:txbxContent>
            </v:textbox>
          </v:shape>
        </w:pict>
      </w:r>
      <w:r>
        <w:t>落实省、市规划要求，对我市的建筑用砂和矿泉水的开采总量进行调控（专栏 9）。建筑用砂矿山按照资源开发与环境保护并重的原则，满足本市需求。鼓励矿泉水矿山企业加大科技投入，对大中型矿产地进行规模开发，积极促进矿山企业规模化、集约化经营。</w:t>
      </w:r>
    </w:p>
    <w:p w14:paraId="34E3D3BE">
      <w:pPr>
        <w:pStyle w:val="2"/>
      </w:pPr>
    </w:p>
    <w:p w14:paraId="28D6BA21">
      <w:pPr>
        <w:pStyle w:val="2"/>
      </w:pPr>
    </w:p>
    <w:p w14:paraId="1E4CBA01">
      <w:pPr>
        <w:pStyle w:val="2"/>
      </w:pPr>
    </w:p>
    <w:p w14:paraId="1D1BE804">
      <w:pPr>
        <w:pStyle w:val="2"/>
      </w:pPr>
    </w:p>
    <w:p w14:paraId="6A0EED48">
      <w:pPr>
        <w:pStyle w:val="2"/>
        <w:rPr>
          <w:sz w:val="38"/>
        </w:rPr>
      </w:pPr>
    </w:p>
    <w:p w14:paraId="1E7FC619">
      <w:pPr>
        <w:pStyle w:val="2"/>
        <w:ind w:right="38"/>
        <w:jc w:val="center"/>
        <w:rPr>
          <w:rFonts w:hint="eastAsia" w:ascii="黑体" w:eastAsia="黑体"/>
        </w:rPr>
      </w:pPr>
      <w:bookmarkStart w:id="34" w:name="_bookmark17"/>
      <w:bookmarkEnd w:id="34"/>
      <w:bookmarkStart w:id="35" w:name="第二节 优化调整开发利用结构和规模"/>
      <w:bookmarkEnd w:id="35"/>
      <w:r>
        <w:rPr>
          <w:rFonts w:hint="eastAsia" w:ascii="黑体" w:eastAsia="黑体"/>
        </w:rPr>
        <w:t>第二节 优化调整开发利用结构和规模</w:t>
      </w:r>
    </w:p>
    <w:p w14:paraId="35FFEE2B">
      <w:pPr>
        <w:pStyle w:val="2"/>
        <w:spacing w:before="192" w:line="600" w:lineRule="exact"/>
        <w:ind w:left="220" w:right="107" w:firstLine="600"/>
      </w:pPr>
      <w:r>
        <w:rPr>
          <w:rFonts w:hint="eastAsia" w:ascii="Microsoft JhengHei" w:eastAsia="Microsoft JhengHei"/>
          <w:b/>
        </w:rPr>
        <w:t>确定主要矿种矿山最低开采规模</w:t>
      </w:r>
      <w:r>
        <w:rPr>
          <w:rFonts w:hint="eastAsia" w:ascii="Microsoft JhengHei"/>
          <w:b/>
          <w:lang w:eastAsia="zh-CN"/>
        </w:rPr>
        <w:t>。</w:t>
      </w:r>
      <w:r>
        <w:t>为合理利用我市矿产资源，充分发挥我市优势矿产资源在经济建设中的作用，在总结我市以往矿产</w:t>
      </w:r>
      <w:r>
        <w:rPr>
          <w:spacing w:val="-9"/>
        </w:rPr>
        <w:t xml:space="preserve">资源开发利用经验的基础上，根据我市资源供需形势、环境承载能力， </w:t>
      </w:r>
      <w:r>
        <w:t>在国家规划省规划和市规划确定的矿山最低开采规模指导下，确定我市重点矿种本轮规划矿山最低开采规模（</w:t>
      </w:r>
      <w:r>
        <w:rPr>
          <w:spacing w:val="-26"/>
        </w:rPr>
        <w:t xml:space="preserve">专栏 </w:t>
      </w:r>
      <w:r>
        <w:rPr>
          <w:rFonts w:ascii="Times New Roman" w:eastAsia="Times New Roman"/>
        </w:rPr>
        <w:t>10</w:t>
      </w:r>
      <w:r>
        <w:t>）。</w:t>
      </w:r>
    </w:p>
    <w:p w14:paraId="5ADDC843">
      <w:pPr>
        <w:pStyle w:val="2"/>
        <w:spacing w:before="8" w:after="1"/>
        <w:rPr>
          <w:sz w:val="18"/>
        </w:rPr>
      </w:pPr>
    </w:p>
    <w:tbl>
      <w:tblPr>
        <w:tblStyle w:val="3"/>
        <w:tblW w:w="9243"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1"/>
        <w:gridCol w:w="1669"/>
        <w:gridCol w:w="1331"/>
        <w:gridCol w:w="1226"/>
        <w:gridCol w:w="1226"/>
        <w:gridCol w:w="1314"/>
        <w:gridCol w:w="1496"/>
      </w:tblGrid>
      <w:tr w14:paraId="050BC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243" w:type="dxa"/>
            <w:gridSpan w:val="7"/>
            <w:shd w:val="clear" w:color="auto" w:fill="99CCFF"/>
            <w:vAlign w:val="top"/>
          </w:tcPr>
          <w:p w14:paraId="7D2CCEBB">
            <w:pPr>
              <w:pStyle w:val="11"/>
              <w:tabs>
                <w:tab w:val="left" w:pos="1148"/>
              </w:tabs>
              <w:spacing w:before="70"/>
              <w:ind w:left="8"/>
              <w:rPr>
                <w:sz w:val="24"/>
              </w:rPr>
            </w:pPr>
            <w:r>
              <w:rPr>
                <w:sz w:val="24"/>
              </w:rPr>
              <w:t>专栏</w:t>
            </w:r>
            <w:r>
              <w:rPr>
                <w:spacing w:val="-60"/>
                <w:sz w:val="24"/>
              </w:rPr>
              <w:t xml:space="preserve"> </w:t>
            </w:r>
            <w:r>
              <w:rPr>
                <w:rFonts w:ascii="Times New Roman" w:eastAsia="Times New Roman"/>
                <w:sz w:val="24"/>
              </w:rPr>
              <w:t>10</w:t>
            </w:r>
            <w:r>
              <w:rPr>
                <w:rFonts w:ascii="Times New Roman" w:eastAsia="Times New Roman"/>
                <w:sz w:val="24"/>
              </w:rPr>
              <w:tab/>
            </w:r>
            <w:r>
              <w:rPr>
                <w:sz w:val="24"/>
              </w:rPr>
              <w:t>重点矿种最低开采规模</w:t>
            </w:r>
          </w:p>
        </w:tc>
      </w:tr>
      <w:tr w14:paraId="5FB66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81" w:type="dxa"/>
            <w:vMerge w:val="restart"/>
            <w:shd w:val="clear" w:color="auto" w:fill="CCFFFF"/>
            <w:vAlign w:val="top"/>
          </w:tcPr>
          <w:p w14:paraId="461D2030">
            <w:pPr>
              <w:pStyle w:val="11"/>
              <w:spacing w:before="8"/>
              <w:jc w:val="left"/>
              <w:rPr>
                <w:sz w:val="15"/>
              </w:rPr>
            </w:pPr>
          </w:p>
          <w:p w14:paraId="77A00FAD">
            <w:pPr>
              <w:pStyle w:val="11"/>
              <w:ind w:left="280"/>
              <w:jc w:val="left"/>
              <w:rPr>
                <w:sz w:val="21"/>
              </w:rPr>
            </w:pPr>
            <w:r>
              <w:rPr>
                <w:sz w:val="21"/>
              </w:rPr>
              <w:t>序号</w:t>
            </w:r>
          </w:p>
        </w:tc>
        <w:tc>
          <w:tcPr>
            <w:tcW w:w="1669" w:type="dxa"/>
            <w:vMerge w:val="restart"/>
            <w:shd w:val="clear" w:color="auto" w:fill="CCFFFF"/>
            <w:vAlign w:val="top"/>
          </w:tcPr>
          <w:p w14:paraId="09ADC7A8">
            <w:pPr>
              <w:pStyle w:val="11"/>
              <w:spacing w:before="8"/>
              <w:jc w:val="left"/>
              <w:rPr>
                <w:sz w:val="15"/>
              </w:rPr>
            </w:pPr>
          </w:p>
          <w:p w14:paraId="6A4BDEF6">
            <w:pPr>
              <w:pStyle w:val="11"/>
              <w:ind w:left="413"/>
              <w:jc w:val="left"/>
              <w:rPr>
                <w:sz w:val="21"/>
              </w:rPr>
            </w:pPr>
            <w:r>
              <w:rPr>
                <w:sz w:val="21"/>
              </w:rPr>
              <w:t>矿种名称</w:t>
            </w:r>
          </w:p>
        </w:tc>
        <w:tc>
          <w:tcPr>
            <w:tcW w:w="1331" w:type="dxa"/>
            <w:vMerge w:val="restart"/>
            <w:shd w:val="clear" w:color="auto" w:fill="CCFFFF"/>
            <w:vAlign w:val="top"/>
          </w:tcPr>
          <w:p w14:paraId="64E0C88A">
            <w:pPr>
              <w:pStyle w:val="11"/>
              <w:spacing w:before="8"/>
              <w:jc w:val="left"/>
              <w:rPr>
                <w:sz w:val="15"/>
              </w:rPr>
            </w:pPr>
          </w:p>
          <w:p w14:paraId="07F6538C">
            <w:pPr>
              <w:pStyle w:val="11"/>
              <w:ind w:left="223" w:right="216"/>
              <w:rPr>
                <w:sz w:val="21"/>
              </w:rPr>
            </w:pPr>
            <w:r>
              <w:rPr>
                <w:sz w:val="21"/>
              </w:rPr>
              <w:t>单位</w:t>
            </w:r>
          </w:p>
        </w:tc>
        <w:tc>
          <w:tcPr>
            <w:tcW w:w="3766" w:type="dxa"/>
            <w:gridSpan w:val="3"/>
            <w:shd w:val="clear" w:color="auto" w:fill="CCFFFF"/>
            <w:vAlign w:val="top"/>
          </w:tcPr>
          <w:p w14:paraId="74ED910C">
            <w:pPr>
              <w:pStyle w:val="11"/>
              <w:spacing w:before="30"/>
              <w:ind w:left="1041"/>
              <w:jc w:val="left"/>
              <w:rPr>
                <w:sz w:val="21"/>
              </w:rPr>
            </w:pPr>
            <w:r>
              <w:rPr>
                <w:sz w:val="21"/>
              </w:rPr>
              <w:t>矿山最低开采规模</w:t>
            </w:r>
          </w:p>
        </w:tc>
        <w:tc>
          <w:tcPr>
            <w:tcW w:w="1496" w:type="dxa"/>
            <w:vMerge w:val="restart"/>
            <w:shd w:val="clear" w:color="auto" w:fill="CCFFFF"/>
            <w:vAlign w:val="top"/>
          </w:tcPr>
          <w:p w14:paraId="333A94B2">
            <w:pPr>
              <w:pStyle w:val="11"/>
              <w:spacing w:before="8"/>
              <w:jc w:val="left"/>
              <w:rPr>
                <w:sz w:val="15"/>
              </w:rPr>
            </w:pPr>
          </w:p>
          <w:p w14:paraId="09EA78E0">
            <w:pPr>
              <w:pStyle w:val="11"/>
              <w:ind w:left="516" w:right="510"/>
              <w:rPr>
                <w:sz w:val="21"/>
              </w:rPr>
            </w:pPr>
            <w:r>
              <w:rPr>
                <w:sz w:val="21"/>
              </w:rPr>
              <w:t>备注</w:t>
            </w:r>
          </w:p>
        </w:tc>
      </w:tr>
      <w:tr w14:paraId="1F803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81" w:type="dxa"/>
            <w:vMerge w:val="continue"/>
            <w:tcBorders>
              <w:top w:val="nil"/>
            </w:tcBorders>
            <w:shd w:val="clear" w:color="auto" w:fill="CCFFFF"/>
            <w:vAlign w:val="top"/>
          </w:tcPr>
          <w:p w14:paraId="12A5B674">
            <w:pPr>
              <w:rPr>
                <w:sz w:val="2"/>
                <w:szCs w:val="2"/>
              </w:rPr>
            </w:pPr>
          </w:p>
        </w:tc>
        <w:tc>
          <w:tcPr>
            <w:tcW w:w="1669" w:type="dxa"/>
            <w:vMerge w:val="continue"/>
            <w:tcBorders>
              <w:top w:val="nil"/>
            </w:tcBorders>
            <w:shd w:val="clear" w:color="auto" w:fill="CCFFFF"/>
            <w:vAlign w:val="top"/>
          </w:tcPr>
          <w:p w14:paraId="5A91E145">
            <w:pPr>
              <w:rPr>
                <w:sz w:val="2"/>
                <w:szCs w:val="2"/>
              </w:rPr>
            </w:pPr>
          </w:p>
        </w:tc>
        <w:tc>
          <w:tcPr>
            <w:tcW w:w="1331" w:type="dxa"/>
            <w:vMerge w:val="continue"/>
            <w:tcBorders>
              <w:top w:val="nil"/>
            </w:tcBorders>
            <w:shd w:val="clear" w:color="auto" w:fill="CCFFFF"/>
            <w:vAlign w:val="top"/>
          </w:tcPr>
          <w:p w14:paraId="1FAA7C45">
            <w:pPr>
              <w:rPr>
                <w:sz w:val="2"/>
                <w:szCs w:val="2"/>
              </w:rPr>
            </w:pPr>
          </w:p>
        </w:tc>
        <w:tc>
          <w:tcPr>
            <w:tcW w:w="1226" w:type="dxa"/>
            <w:shd w:val="clear" w:color="auto" w:fill="CCFFFF"/>
            <w:vAlign w:val="top"/>
          </w:tcPr>
          <w:p w14:paraId="121BB3E0">
            <w:pPr>
              <w:pStyle w:val="11"/>
              <w:spacing w:before="28"/>
              <w:ind w:left="6"/>
              <w:rPr>
                <w:sz w:val="21"/>
              </w:rPr>
            </w:pPr>
            <w:r>
              <w:rPr>
                <w:w w:val="99"/>
                <w:sz w:val="21"/>
              </w:rPr>
              <w:t>大</w:t>
            </w:r>
          </w:p>
        </w:tc>
        <w:tc>
          <w:tcPr>
            <w:tcW w:w="1226" w:type="dxa"/>
            <w:shd w:val="clear" w:color="auto" w:fill="CCFFFF"/>
            <w:vAlign w:val="top"/>
          </w:tcPr>
          <w:p w14:paraId="200E8FC4">
            <w:pPr>
              <w:pStyle w:val="11"/>
              <w:spacing w:before="31"/>
              <w:ind w:left="7"/>
              <w:rPr>
                <w:sz w:val="21"/>
              </w:rPr>
            </w:pPr>
            <w:r>
              <w:rPr>
                <w:w w:val="99"/>
                <w:sz w:val="21"/>
              </w:rPr>
              <w:t>中</w:t>
            </w:r>
          </w:p>
        </w:tc>
        <w:tc>
          <w:tcPr>
            <w:tcW w:w="1314" w:type="dxa"/>
            <w:shd w:val="clear" w:color="auto" w:fill="CCFFFF"/>
            <w:vAlign w:val="top"/>
          </w:tcPr>
          <w:p w14:paraId="49895E10">
            <w:pPr>
              <w:pStyle w:val="11"/>
              <w:spacing w:before="31"/>
              <w:ind w:right="542"/>
              <w:jc w:val="right"/>
              <w:rPr>
                <w:sz w:val="21"/>
              </w:rPr>
            </w:pPr>
            <w:r>
              <w:rPr>
                <w:w w:val="99"/>
                <w:sz w:val="21"/>
              </w:rPr>
              <w:t>小</w:t>
            </w:r>
          </w:p>
        </w:tc>
        <w:tc>
          <w:tcPr>
            <w:tcW w:w="1496" w:type="dxa"/>
            <w:vMerge w:val="continue"/>
            <w:tcBorders>
              <w:top w:val="nil"/>
            </w:tcBorders>
            <w:shd w:val="clear" w:color="auto" w:fill="CCFFFF"/>
            <w:vAlign w:val="top"/>
          </w:tcPr>
          <w:p w14:paraId="6B4D4AA8">
            <w:pPr>
              <w:rPr>
                <w:sz w:val="2"/>
                <w:szCs w:val="2"/>
              </w:rPr>
            </w:pPr>
          </w:p>
        </w:tc>
      </w:tr>
      <w:tr w14:paraId="7C33C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981" w:type="dxa"/>
            <w:shd w:val="clear" w:color="auto" w:fill="CCFFFF"/>
            <w:vAlign w:val="top"/>
          </w:tcPr>
          <w:p w14:paraId="69EE91E4">
            <w:pPr>
              <w:pStyle w:val="11"/>
              <w:spacing w:before="36"/>
              <w:ind w:left="436"/>
              <w:jc w:val="left"/>
              <w:rPr>
                <w:rFonts w:ascii="Times New Roman"/>
                <w:sz w:val="21"/>
              </w:rPr>
            </w:pPr>
            <w:r>
              <w:rPr>
                <w:rFonts w:ascii="Times New Roman"/>
                <w:w w:val="99"/>
                <w:sz w:val="21"/>
              </w:rPr>
              <w:t>1</w:t>
            </w:r>
          </w:p>
        </w:tc>
        <w:tc>
          <w:tcPr>
            <w:tcW w:w="1669" w:type="dxa"/>
            <w:shd w:val="clear" w:color="auto" w:fill="CCFFFF"/>
            <w:vAlign w:val="top"/>
          </w:tcPr>
          <w:p w14:paraId="4C27072C">
            <w:pPr>
              <w:pStyle w:val="11"/>
              <w:spacing w:before="14" w:line="267" w:lineRule="exact"/>
              <w:ind w:left="392" w:right="387"/>
              <w:rPr>
                <w:sz w:val="21"/>
              </w:rPr>
            </w:pPr>
            <w:r>
              <w:rPr>
                <w:sz w:val="21"/>
              </w:rPr>
              <w:t>建筑用砂</w:t>
            </w:r>
          </w:p>
        </w:tc>
        <w:tc>
          <w:tcPr>
            <w:tcW w:w="1331" w:type="dxa"/>
            <w:shd w:val="clear" w:color="auto" w:fill="CCFFFF"/>
            <w:vAlign w:val="top"/>
          </w:tcPr>
          <w:p w14:paraId="4E667FCD">
            <w:pPr>
              <w:pStyle w:val="11"/>
              <w:spacing w:before="22" w:line="260" w:lineRule="exact"/>
              <w:ind w:left="223" w:right="216"/>
              <w:rPr>
                <w:sz w:val="21"/>
              </w:rPr>
            </w:pPr>
            <w:r>
              <w:rPr>
                <w:sz w:val="21"/>
              </w:rPr>
              <w:t>万吨</w:t>
            </w:r>
          </w:p>
        </w:tc>
        <w:tc>
          <w:tcPr>
            <w:tcW w:w="1226" w:type="dxa"/>
            <w:shd w:val="clear" w:color="auto" w:fill="CCFFFF"/>
            <w:vAlign w:val="top"/>
          </w:tcPr>
          <w:p w14:paraId="09F56C74">
            <w:pPr>
              <w:pStyle w:val="11"/>
              <w:spacing w:before="36"/>
              <w:ind w:left="485" w:right="480"/>
              <w:rPr>
                <w:rFonts w:ascii="Times New Roman"/>
                <w:sz w:val="21"/>
              </w:rPr>
            </w:pPr>
            <w:r>
              <w:rPr>
                <w:rFonts w:ascii="Times New Roman"/>
                <w:sz w:val="21"/>
              </w:rPr>
              <w:t>**</w:t>
            </w:r>
          </w:p>
        </w:tc>
        <w:tc>
          <w:tcPr>
            <w:tcW w:w="1226" w:type="dxa"/>
            <w:shd w:val="clear" w:color="auto" w:fill="CCFFFF"/>
            <w:vAlign w:val="top"/>
          </w:tcPr>
          <w:p w14:paraId="32E0BDD4">
            <w:pPr>
              <w:pStyle w:val="11"/>
              <w:spacing w:before="36"/>
              <w:ind w:left="485" w:right="479"/>
              <w:rPr>
                <w:rFonts w:ascii="Times New Roman"/>
                <w:sz w:val="21"/>
              </w:rPr>
            </w:pPr>
            <w:r>
              <w:rPr>
                <w:rFonts w:ascii="Times New Roman"/>
                <w:sz w:val="21"/>
              </w:rPr>
              <w:t>**</w:t>
            </w:r>
          </w:p>
        </w:tc>
        <w:tc>
          <w:tcPr>
            <w:tcW w:w="1314" w:type="dxa"/>
            <w:shd w:val="clear" w:color="auto" w:fill="CCFFFF"/>
            <w:vAlign w:val="top"/>
          </w:tcPr>
          <w:p w14:paraId="615C9864">
            <w:pPr>
              <w:pStyle w:val="11"/>
              <w:spacing w:before="36"/>
              <w:ind w:right="543"/>
              <w:jc w:val="right"/>
              <w:rPr>
                <w:rFonts w:ascii="Times New Roman"/>
                <w:sz w:val="21"/>
              </w:rPr>
            </w:pPr>
            <w:r>
              <w:rPr>
                <w:rFonts w:ascii="Times New Roman"/>
                <w:w w:val="95"/>
                <w:sz w:val="21"/>
              </w:rPr>
              <w:t>**</w:t>
            </w:r>
          </w:p>
        </w:tc>
        <w:tc>
          <w:tcPr>
            <w:tcW w:w="1496" w:type="dxa"/>
            <w:shd w:val="clear" w:color="auto" w:fill="CCFFFF"/>
            <w:vAlign w:val="top"/>
          </w:tcPr>
          <w:p w14:paraId="559B12DD">
            <w:pPr>
              <w:pStyle w:val="11"/>
              <w:jc w:val="left"/>
              <w:rPr>
                <w:rFonts w:ascii="Times New Roman"/>
                <w:sz w:val="22"/>
              </w:rPr>
            </w:pPr>
          </w:p>
        </w:tc>
      </w:tr>
      <w:tr w14:paraId="75171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81" w:type="dxa"/>
            <w:shd w:val="clear" w:color="auto" w:fill="CCFFFF"/>
            <w:vAlign w:val="top"/>
          </w:tcPr>
          <w:p w14:paraId="497907F8">
            <w:pPr>
              <w:pStyle w:val="11"/>
              <w:spacing w:before="43"/>
              <w:ind w:left="436"/>
              <w:jc w:val="left"/>
              <w:rPr>
                <w:rFonts w:ascii="Times New Roman"/>
                <w:sz w:val="21"/>
              </w:rPr>
            </w:pPr>
            <w:r>
              <w:rPr>
                <w:rFonts w:ascii="Times New Roman"/>
                <w:w w:val="99"/>
                <w:sz w:val="21"/>
              </w:rPr>
              <w:t>2</w:t>
            </w:r>
          </w:p>
        </w:tc>
        <w:tc>
          <w:tcPr>
            <w:tcW w:w="1669" w:type="dxa"/>
            <w:shd w:val="clear" w:color="auto" w:fill="CCFFFF"/>
            <w:vAlign w:val="top"/>
          </w:tcPr>
          <w:p w14:paraId="02220FD4">
            <w:pPr>
              <w:pStyle w:val="11"/>
              <w:spacing w:before="29"/>
              <w:ind w:left="392" w:right="385"/>
              <w:rPr>
                <w:sz w:val="21"/>
              </w:rPr>
            </w:pPr>
            <w:r>
              <w:rPr>
                <w:sz w:val="21"/>
              </w:rPr>
              <w:t>矿泉水</w:t>
            </w:r>
          </w:p>
        </w:tc>
        <w:tc>
          <w:tcPr>
            <w:tcW w:w="1331" w:type="dxa"/>
            <w:shd w:val="clear" w:color="auto" w:fill="CCFFFF"/>
            <w:vAlign w:val="top"/>
          </w:tcPr>
          <w:p w14:paraId="760AAE7C">
            <w:pPr>
              <w:pStyle w:val="11"/>
              <w:spacing w:before="29"/>
              <w:ind w:left="223" w:right="218"/>
              <w:rPr>
                <w:sz w:val="21"/>
              </w:rPr>
            </w:pPr>
            <w:r>
              <w:rPr>
                <w:sz w:val="21"/>
              </w:rPr>
              <w:t>万立方米</w:t>
            </w:r>
          </w:p>
        </w:tc>
        <w:tc>
          <w:tcPr>
            <w:tcW w:w="1226" w:type="dxa"/>
            <w:shd w:val="clear" w:color="auto" w:fill="CCFFFF"/>
            <w:vAlign w:val="top"/>
          </w:tcPr>
          <w:p w14:paraId="1651BE9E">
            <w:pPr>
              <w:pStyle w:val="11"/>
              <w:spacing w:before="43"/>
              <w:ind w:left="485" w:right="480"/>
              <w:rPr>
                <w:rFonts w:ascii="Times New Roman"/>
                <w:sz w:val="21"/>
              </w:rPr>
            </w:pPr>
            <w:r>
              <w:rPr>
                <w:rFonts w:ascii="Times New Roman"/>
                <w:sz w:val="21"/>
              </w:rPr>
              <w:t>**</w:t>
            </w:r>
          </w:p>
        </w:tc>
        <w:tc>
          <w:tcPr>
            <w:tcW w:w="1226" w:type="dxa"/>
            <w:shd w:val="clear" w:color="auto" w:fill="CCFFFF"/>
            <w:vAlign w:val="top"/>
          </w:tcPr>
          <w:p w14:paraId="13559018">
            <w:pPr>
              <w:pStyle w:val="11"/>
              <w:spacing w:before="43"/>
              <w:ind w:left="485" w:right="479"/>
              <w:rPr>
                <w:rFonts w:ascii="Times New Roman"/>
                <w:sz w:val="21"/>
              </w:rPr>
            </w:pPr>
            <w:r>
              <w:rPr>
                <w:rFonts w:ascii="Times New Roman"/>
                <w:sz w:val="21"/>
              </w:rPr>
              <w:t>**</w:t>
            </w:r>
          </w:p>
        </w:tc>
        <w:tc>
          <w:tcPr>
            <w:tcW w:w="1314" w:type="dxa"/>
            <w:shd w:val="clear" w:color="auto" w:fill="CCFFFF"/>
            <w:vAlign w:val="top"/>
          </w:tcPr>
          <w:p w14:paraId="6F847BAF">
            <w:pPr>
              <w:pStyle w:val="11"/>
              <w:spacing w:before="43"/>
              <w:ind w:right="543"/>
              <w:jc w:val="right"/>
              <w:rPr>
                <w:rFonts w:ascii="Times New Roman"/>
                <w:sz w:val="21"/>
              </w:rPr>
            </w:pPr>
            <w:r>
              <w:rPr>
                <w:rFonts w:ascii="Times New Roman"/>
                <w:w w:val="95"/>
                <w:sz w:val="21"/>
              </w:rPr>
              <w:t>**</w:t>
            </w:r>
          </w:p>
        </w:tc>
        <w:tc>
          <w:tcPr>
            <w:tcW w:w="1496" w:type="dxa"/>
            <w:shd w:val="clear" w:color="auto" w:fill="CCFFFF"/>
            <w:vAlign w:val="top"/>
          </w:tcPr>
          <w:p w14:paraId="5E4BF839">
            <w:pPr>
              <w:pStyle w:val="11"/>
              <w:spacing w:before="29"/>
              <w:ind w:left="431"/>
              <w:jc w:val="left"/>
              <w:rPr>
                <w:sz w:val="21"/>
              </w:rPr>
            </w:pPr>
            <w:r>
              <w:rPr>
                <w:sz w:val="21"/>
              </w:rPr>
              <w:t>省规划</w:t>
            </w:r>
          </w:p>
        </w:tc>
      </w:tr>
    </w:tbl>
    <w:p w14:paraId="38C95315">
      <w:pPr>
        <w:pStyle w:val="2"/>
        <w:spacing w:line="600" w:lineRule="exact"/>
        <w:ind w:left="220" w:right="258" w:firstLine="600"/>
        <w:jc w:val="both"/>
      </w:pPr>
      <w:r>
        <w:rPr>
          <w:rFonts w:hint="eastAsia" w:ascii="Microsoft JhengHei" w:eastAsia="Microsoft JhengHei"/>
          <w:b/>
        </w:rPr>
        <w:t>优化矿山规模结构</w:t>
      </w:r>
      <w:r>
        <w:rPr>
          <w:rFonts w:hint="eastAsia" w:ascii="Microsoft JhengHei"/>
          <w:b/>
          <w:lang w:eastAsia="zh-CN"/>
        </w:rPr>
        <w:t>。</w:t>
      </w:r>
      <w:r>
        <w:t>以资源禀赋情况和开发利用技术为基础，以全面提升竞争力为目标，以政策引导为手段，继续调整中、小型矿山比例结构。促进矿泉水矿山规模结构优化，提高矿山规模化、集约化水平，提高资源利用水平，提升企业竞争力，促进产业升级。</w:t>
      </w:r>
    </w:p>
    <w:p w14:paraId="5DC40B3B">
      <w:pPr>
        <w:spacing w:after="0" w:line="600" w:lineRule="exact"/>
        <w:jc w:val="both"/>
        <w:sectPr>
          <w:pgSz w:w="11910" w:h="16840"/>
          <w:pgMar w:top="1260" w:right="1180" w:bottom="1180" w:left="1220" w:header="0" w:footer="993" w:gutter="0"/>
          <w:cols w:space="720" w:num="1"/>
        </w:sectPr>
      </w:pPr>
    </w:p>
    <w:p w14:paraId="69728F18">
      <w:pPr>
        <w:spacing w:before="0" w:line="483" w:lineRule="exact"/>
        <w:ind w:left="820" w:right="0" w:firstLine="0"/>
        <w:jc w:val="left"/>
        <w:rPr>
          <w:sz w:val="30"/>
        </w:rPr>
      </w:pPr>
      <w:r>
        <w:rPr>
          <w:rFonts w:hint="eastAsia" w:ascii="Microsoft JhengHei" w:eastAsia="Microsoft JhengHei"/>
          <w:b/>
          <w:spacing w:val="-9"/>
          <w:sz w:val="30"/>
        </w:rPr>
        <w:t>优化矿产品结构</w:t>
      </w:r>
      <w:r>
        <w:rPr>
          <w:rFonts w:hint="eastAsia" w:ascii="Microsoft JhengHei"/>
          <w:b/>
          <w:spacing w:val="-9"/>
          <w:sz w:val="30"/>
          <w:lang w:eastAsia="zh-CN"/>
        </w:rPr>
        <w:t>。</w:t>
      </w:r>
      <w:r>
        <w:rPr>
          <w:spacing w:val="-8"/>
          <w:sz w:val="30"/>
        </w:rPr>
        <w:t>规划期内，以我市优势矿产资源和矿产为主体，</w:t>
      </w:r>
    </w:p>
    <w:p w14:paraId="2EBF6B59">
      <w:pPr>
        <w:pStyle w:val="2"/>
        <w:spacing w:before="147" w:line="374" w:lineRule="auto"/>
        <w:ind w:left="220" w:right="107"/>
      </w:pPr>
      <w:r>
        <w:t>以科技进步为动力，以效益为中心，以“绿色、循环、低碳”矿业经</w:t>
      </w:r>
      <w:r>
        <w:rPr>
          <w:spacing w:val="-12"/>
        </w:rPr>
        <w:t xml:space="preserve">济为目标，实现矿泉水产品提升产品产量，增强产品质量，扩大宣传， </w:t>
      </w:r>
      <w:r>
        <w:t>努力打造品牌形象。</w:t>
      </w:r>
    </w:p>
    <w:p w14:paraId="6EFC8FA8">
      <w:pPr>
        <w:pStyle w:val="2"/>
        <w:spacing w:before="157"/>
        <w:ind w:right="38"/>
        <w:jc w:val="center"/>
        <w:rPr>
          <w:rFonts w:hint="eastAsia" w:ascii="黑体" w:eastAsia="黑体"/>
        </w:rPr>
      </w:pPr>
      <w:bookmarkStart w:id="36" w:name="第三节 严格规划准入管理"/>
      <w:bookmarkEnd w:id="36"/>
      <w:bookmarkStart w:id="37" w:name="_bookmark18"/>
      <w:bookmarkEnd w:id="37"/>
      <w:r>
        <w:rPr>
          <w:rFonts w:hint="eastAsia" w:ascii="黑体" w:eastAsia="黑体"/>
        </w:rPr>
        <w:t>第三节 严格规划准入管理</w:t>
      </w:r>
    </w:p>
    <w:p w14:paraId="7C56E946">
      <w:pPr>
        <w:pStyle w:val="2"/>
        <w:rPr>
          <w:rFonts w:ascii="黑体"/>
          <w:sz w:val="29"/>
        </w:rPr>
      </w:pPr>
    </w:p>
    <w:p w14:paraId="139BC991">
      <w:pPr>
        <w:pStyle w:val="2"/>
        <w:spacing w:line="374" w:lineRule="auto"/>
        <w:ind w:left="220" w:right="107" w:firstLine="600"/>
      </w:pPr>
      <w:r>
        <w:rPr>
          <w:spacing w:val="-13"/>
        </w:rPr>
        <w:t xml:space="preserve">为合理、高效利用矿产资源，进一步规范矿产资源勘查开发秩序， </w:t>
      </w:r>
      <w:r>
        <w:rPr>
          <w:spacing w:val="-9"/>
        </w:rPr>
        <w:t>加强我市矿产资源勘查开发规划管理，在建立更加健全的矿业权市场、</w:t>
      </w:r>
      <w:r>
        <w:t>创造良好的矿业权交易环境的同时，切实在绿色勘查、开采规模、开发利用水平、绿色矿山建设、矿区生态保护修复方面提高准入门槛， 严格准入制度，制定完善的矿产资源勘查开发准入条件。</w:t>
      </w:r>
    </w:p>
    <w:p w14:paraId="5582E4AF">
      <w:pPr>
        <w:pStyle w:val="2"/>
        <w:spacing w:line="455" w:lineRule="exact"/>
        <w:ind w:left="820"/>
      </w:pPr>
      <w:r>
        <w:rPr>
          <w:rFonts w:hint="eastAsia" w:ascii="Microsoft JhengHei" w:eastAsia="Microsoft JhengHei"/>
          <w:b/>
        </w:rPr>
        <w:t>绿色勘查</w:t>
      </w:r>
      <w:r>
        <w:rPr>
          <w:rFonts w:hint="eastAsia" w:ascii="Microsoft JhengHei"/>
          <w:b/>
          <w:lang w:eastAsia="zh-CN"/>
        </w:rPr>
        <w:t>。</w:t>
      </w:r>
      <w:r>
        <w:t>地质勘查项目立项时，应对地质勘查工作可能造成的</w:t>
      </w:r>
    </w:p>
    <w:p w14:paraId="42530A8B">
      <w:pPr>
        <w:pStyle w:val="2"/>
        <w:spacing w:before="148" w:line="374" w:lineRule="auto"/>
        <w:ind w:left="220" w:right="258"/>
        <w:jc w:val="both"/>
      </w:pPr>
      <w:r>
        <w:t>生态环境影响进行评估分析，在勘查实施方案中明确项目绿色勘查工作的具体内容、技术要求和保障措施等，尽可能地运用新技术、新方法代替传统的探矿方法，最大程度减轻或避免勘查活动对生态环境的扰动，把生态环境保护理念贯穿于矿产资源勘查的设计、施工和验收全过程。</w:t>
      </w:r>
    </w:p>
    <w:p w14:paraId="26E687C2">
      <w:pPr>
        <w:pStyle w:val="2"/>
        <w:spacing w:line="455" w:lineRule="exact"/>
        <w:ind w:left="820"/>
      </w:pPr>
      <w:r>
        <w:rPr>
          <w:rFonts w:hint="eastAsia" w:ascii="Microsoft JhengHei" w:hAnsi="Microsoft JhengHei" w:eastAsia="Microsoft JhengHei"/>
          <w:b/>
          <w:spacing w:val="-14"/>
        </w:rPr>
        <w:t>开采规模</w:t>
      </w:r>
      <w:r>
        <w:rPr>
          <w:rFonts w:hint="eastAsia" w:ascii="Microsoft JhengHei" w:hAnsi="Microsoft JhengHei"/>
          <w:b/>
          <w:spacing w:val="-14"/>
          <w:lang w:eastAsia="zh-CN"/>
        </w:rPr>
        <w:t>。</w:t>
      </w:r>
      <w:r>
        <w:rPr>
          <w:spacing w:val="-15"/>
        </w:rPr>
        <w:t>严格矿山建设标准，引导矿山企业规模开采，坚持“矿</w:t>
      </w:r>
    </w:p>
    <w:p w14:paraId="09CB6005">
      <w:pPr>
        <w:pStyle w:val="2"/>
        <w:spacing w:before="147" w:line="374" w:lineRule="auto"/>
        <w:ind w:left="220" w:right="261"/>
      </w:pPr>
      <w:r>
        <w:t>山设计开采规模与矿区资源储量规模相适应”的原则；新建矿山生产规模严格执行我市规定的最低开采规模设计标准。</w:t>
      </w:r>
    </w:p>
    <w:p w14:paraId="29CF8614">
      <w:pPr>
        <w:spacing w:before="0" w:line="453" w:lineRule="exact"/>
        <w:ind w:left="820" w:right="0" w:firstLine="0"/>
        <w:jc w:val="left"/>
        <w:rPr>
          <w:sz w:val="30"/>
        </w:rPr>
      </w:pPr>
      <w:r>
        <w:rPr>
          <w:rFonts w:hint="eastAsia" w:ascii="Microsoft JhengHei" w:eastAsia="Microsoft JhengHei"/>
          <w:b/>
          <w:sz w:val="30"/>
        </w:rPr>
        <w:t>开发利用水平</w:t>
      </w:r>
      <w:r>
        <w:rPr>
          <w:rFonts w:hint="eastAsia" w:ascii="Microsoft JhengHei"/>
          <w:b/>
          <w:sz w:val="30"/>
          <w:lang w:eastAsia="zh-CN"/>
        </w:rPr>
        <w:t>。</w:t>
      </w:r>
      <w:r>
        <w:rPr>
          <w:sz w:val="30"/>
        </w:rPr>
        <w:t>严格执行自然资源部公告的重要矿产资源合理开</w:t>
      </w:r>
    </w:p>
    <w:p w14:paraId="6AA700F0">
      <w:pPr>
        <w:pStyle w:val="2"/>
        <w:spacing w:before="147" w:line="374" w:lineRule="auto"/>
        <w:ind w:left="220" w:right="258"/>
        <w:jc w:val="both"/>
      </w:pPr>
      <w:r>
        <w:rPr>
          <w:spacing w:val="-1"/>
        </w:rPr>
        <w:t>发利用“三率”最低指标要求，严格准入门槛，加强监督管理。新建</w:t>
      </w:r>
      <w:r>
        <w:rPr>
          <w:spacing w:val="-4"/>
        </w:rPr>
        <w:t>或改扩建矿山不得采用国家限制和淘汰的采选技术、工艺和设备</w:t>
      </w:r>
      <w:r>
        <w:rPr>
          <w:spacing w:val="-67"/>
        </w:rPr>
        <w:t>，“三</w:t>
      </w:r>
      <w:r>
        <w:rPr>
          <w:spacing w:val="-1"/>
        </w:rPr>
        <w:t>率”指标必须满足准入条件；优先安排资源利用率高、环境影响小、</w:t>
      </w:r>
    </w:p>
    <w:p w14:paraId="6F78E99B">
      <w:pPr>
        <w:spacing w:after="0" w:line="374" w:lineRule="auto"/>
        <w:jc w:val="both"/>
        <w:sectPr>
          <w:pgSz w:w="11910" w:h="16840"/>
          <w:pgMar w:top="1240" w:right="1180" w:bottom="1180" w:left="1220" w:header="0" w:footer="993" w:gutter="0"/>
          <w:cols w:space="720" w:num="1"/>
        </w:sectPr>
      </w:pPr>
    </w:p>
    <w:p w14:paraId="63DF7EE4">
      <w:pPr>
        <w:pStyle w:val="2"/>
        <w:spacing w:before="30"/>
        <w:ind w:left="220"/>
      </w:pPr>
      <w:r>
        <w:t>科技含量大、矿产品附加值高的矿产资源开发利用项目。</w:t>
      </w:r>
    </w:p>
    <w:p w14:paraId="7FC3350E">
      <w:pPr>
        <w:pStyle w:val="2"/>
        <w:spacing w:before="36" w:line="600" w:lineRule="exact"/>
        <w:ind w:left="220" w:right="107" w:firstLine="600"/>
      </w:pPr>
      <w:r>
        <w:rPr>
          <w:rFonts w:hint="eastAsia" w:ascii="Microsoft JhengHei" w:eastAsia="Microsoft JhengHei"/>
          <w:b/>
          <w:spacing w:val="-19"/>
        </w:rPr>
        <w:t>绿色矿山建设</w:t>
      </w:r>
      <w:r>
        <w:rPr>
          <w:rFonts w:hint="eastAsia" w:ascii="Microsoft JhengHei"/>
          <w:b/>
          <w:spacing w:val="-19"/>
          <w:lang w:eastAsia="zh-CN"/>
        </w:rPr>
        <w:t>。</w:t>
      </w:r>
      <w:r>
        <w:rPr>
          <w:spacing w:val="-1"/>
        </w:rPr>
        <w:t>推动新建矿山要按照绿色矿山标准要求进行规划、</w:t>
      </w:r>
      <w:r>
        <w:rPr>
          <w:spacing w:val="-12"/>
        </w:rPr>
        <w:t>设计、建设和运营管理，及时编制绿色矿山实施方案，从理念、制度、</w:t>
      </w:r>
      <w:r>
        <w:t>技术、监管四个方面推动资源绿色开采，将绿色发展理念贯穿于矿产资源利用与保护全过程。</w:t>
      </w:r>
    </w:p>
    <w:p w14:paraId="1DF6A9B1">
      <w:pPr>
        <w:pStyle w:val="2"/>
        <w:spacing w:line="600" w:lineRule="exact"/>
        <w:ind w:left="220" w:right="258" w:firstLine="600"/>
        <w:jc w:val="both"/>
      </w:pPr>
      <w:r>
        <w:rPr>
          <w:rFonts w:hint="eastAsia" w:ascii="Microsoft JhengHei" w:hAnsi="Microsoft JhengHei" w:eastAsia="Microsoft JhengHei"/>
          <w:b/>
        </w:rPr>
        <w:t>矿区生态保护修复</w:t>
      </w:r>
      <w:r>
        <w:rPr>
          <w:rFonts w:hint="eastAsia" w:ascii="Microsoft JhengHei" w:hAnsi="Microsoft JhengHei"/>
          <w:b/>
          <w:lang w:eastAsia="zh-CN"/>
        </w:rPr>
        <w:t>。</w:t>
      </w:r>
      <w:r>
        <w:t>新建矿山在编制矿产资源开发利用方案、绿色矿山建设实施方案和矿山地质环境保护与土地复垦方案时，将矿区生态保护修复贯穿于矿山布局、设计、生产、闭坑全过程，形成“采前有规划、过程能控制、采后可修复”的准入制度，保障矿区生态环境得到有效保护和治理修复。</w:t>
      </w:r>
    </w:p>
    <w:p w14:paraId="1CAB6B31">
      <w:pPr>
        <w:spacing w:after="0" w:line="600" w:lineRule="exact"/>
        <w:jc w:val="both"/>
        <w:sectPr>
          <w:pgSz w:w="11910" w:h="16840"/>
          <w:pgMar w:top="1240" w:right="1180" w:bottom="1180" w:left="1220" w:header="0" w:footer="993" w:gutter="0"/>
          <w:cols w:space="720" w:num="1"/>
        </w:sectPr>
      </w:pPr>
    </w:p>
    <w:p w14:paraId="5AE6A3A0">
      <w:pPr>
        <w:pStyle w:val="9"/>
        <w:tabs>
          <w:tab w:val="left" w:pos="1439"/>
        </w:tabs>
      </w:pPr>
      <w:bookmarkStart w:id="38" w:name="_bookmark19"/>
      <w:bookmarkEnd w:id="38"/>
      <w:bookmarkStart w:id="39" w:name="第五章  矿业绿色发展"/>
      <w:bookmarkEnd w:id="39"/>
      <w:r>
        <w:t>第五章</w:t>
      </w:r>
      <w:r>
        <w:tab/>
      </w:r>
      <w:r>
        <w:t>矿业绿色发展</w:t>
      </w:r>
    </w:p>
    <w:p w14:paraId="5AD98455">
      <w:pPr>
        <w:pStyle w:val="2"/>
        <w:spacing w:before="275"/>
        <w:ind w:right="38"/>
        <w:jc w:val="center"/>
        <w:rPr>
          <w:rFonts w:hint="eastAsia" w:ascii="黑体" w:eastAsia="黑体"/>
        </w:rPr>
      </w:pPr>
      <w:bookmarkStart w:id="40" w:name="第一节 加快推进绿色矿山建设"/>
      <w:bookmarkEnd w:id="40"/>
      <w:bookmarkStart w:id="41" w:name="_bookmark20"/>
      <w:bookmarkEnd w:id="41"/>
      <w:r>
        <w:rPr>
          <w:rFonts w:hint="eastAsia" w:ascii="黑体" w:eastAsia="黑体"/>
        </w:rPr>
        <w:t>第一节 加快推进绿色矿山建设</w:t>
      </w:r>
    </w:p>
    <w:p w14:paraId="3BF163CC">
      <w:pPr>
        <w:pStyle w:val="2"/>
        <w:spacing w:before="192" w:line="600" w:lineRule="exact"/>
        <w:ind w:left="220" w:right="256" w:firstLine="600"/>
        <w:jc w:val="both"/>
      </w:pPr>
      <w:r>
        <w:rPr>
          <w:rFonts w:hint="eastAsia" w:ascii="Microsoft JhengHei" w:hAnsi="Microsoft JhengHei" w:eastAsia="Microsoft JhengHei"/>
          <w:b/>
        </w:rPr>
        <w:t>明确绿色矿山建设总体思路</w:t>
      </w:r>
      <w:r>
        <w:rPr>
          <w:rFonts w:hint="eastAsia" w:ascii="Microsoft JhengHei" w:hAnsi="Microsoft JhengHei"/>
          <w:b/>
          <w:lang w:eastAsia="zh-CN"/>
        </w:rPr>
        <w:t>。</w:t>
      </w:r>
      <w:r>
        <w:rPr>
          <w:spacing w:val="-1"/>
        </w:rPr>
        <w:t xml:space="preserve">积极响应国家生态文明建设的绿色发展理念，全面落实上级规划中的绿色矿山建设要求，加快推进绿色矿山建设，构建长效机制。在健全“市、县联创、企业主建、第三方评估、社会监督”的绿色矿山建设工作体系的同时，总结国家级绿色矿山建设经验，督促、引导矿山企业创新资源节约集约和循环利用， </w:t>
      </w:r>
      <w:r>
        <w:t>加快绿色环保技术工艺装备升级换代，加大矿山地质环境治理恢复与</w:t>
      </w:r>
      <w:r>
        <w:rPr>
          <w:spacing w:val="-1"/>
        </w:rPr>
        <w:t>土地复垦，推进矿区土地节约集约利用和耕地保护，实现矿产资源开</w:t>
      </w:r>
      <w:r>
        <w:t>发利用与生态环境保护相协调。</w:t>
      </w:r>
    </w:p>
    <w:p w14:paraId="7B4E9273">
      <w:pPr>
        <w:pStyle w:val="2"/>
        <w:spacing w:line="600" w:lineRule="exact"/>
        <w:ind w:left="220" w:right="136" w:firstLine="600"/>
      </w:pPr>
      <w:r>
        <w:rPr>
          <w:rFonts w:hint="eastAsia" w:ascii="Microsoft JhengHei" w:eastAsia="Microsoft JhengHei"/>
          <w:b/>
        </w:rPr>
        <w:t>严格落实绿色矿山建设主要任务</w:t>
      </w:r>
      <w:r>
        <w:rPr>
          <w:rFonts w:hint="eastAsia" w:ascii="Microsoft JhengHei"/>
          <w:b/>
          <w:lang w:eastAsia="zh-CN"/>
        </w:rPr>
        <w:t>。</w:t>
      </w:r>
      <w:r>
        <w:t>规划期内，我市新建矿山应及时提交绿色矿山建设实施方案，原则上正常生产一年后，新建矿山应达到绿色矿山建设要求。符合先决条件的生产矿山应按照绿色矿山建设标准编制绿色矿山建设实施方案，加快改造升级，达到绿色矿山标</w:t>
      </w:r>
      <w:r>
        <w:rPr>
          <w:spacing w:val="-6"/>
        </w:rPr>
        <w:t xml:space="preserve">准后，积极开展申报工作。到 </w:t>
      </w:r>
      <w:r>
        <w:rPr>
          <w:rFonts w:ascii="Times New Roman" w:eastAsia="Times New Roman"/>
        </w:rPr>
        <w:t>2025</w:t>
      </w:r>
      <w:r>
        <w:rPr>
          <w:rFonts w:ascii="Times New Roman" w:eastAsia="Times New Roman"/>
          <w:spacing w:val="-2"/>
        </w:rPr>
        <w:t xml:space="preserve"> </w:t>
      </w:r>
      <w:r>
        <w:rPr>
          <w:spacing w:val="-2"/>
        </w:rPr>
        <w:t xml:space="preserve">年，完善绿色矿山建设相关制度， </w:t>
      </w:r>
      <w:r>
        <w:t>基本形成绿色矿山建设新格局。</w:t>
      </w:r>
    </w:p>
    <w:p w14:paraId="7ABB5D1A">
      <w:pPr>
        <w:pStyle w:val="2"/>
        <w:spacing w:line="600" w:lineRule="exact"/>
        <w:ind w:left="220" w:right="258" w:firstLine="600"/>
        <w:jc w:val="both"/>
      </w:pPr>
      <w:r>
        <w:rPr>
          <w:rFonts w:hint="eastAsia" w:ascii="Microsoft JhengHei" w:hAnsi="Microsoft JhengHei" w:eastAsia="Microsoft JhengHei"/>
          <w:b/>
        </w:rPr>
        <w:t>健全绿色矿山建设组织方式</w:t>
      </w:r>
      <w:r>
        <w:rPr>
          <w:rFonts w:hint="eastAsia" w:ascii="Microsoft JhengHei" w:hAnsi="Microsoft JhengHei"/>
          <w:b/>
          <w:lang w:eastAsia="zh-CN"/>
        </w:rPr>
        <w:t>。</w:t>
      </w:r>
      <w:r>
        <w:rPr>
          <w:spacing w:val="-1"/>
        </w:rPr>
        <w:t>坚持“政府引导、企业主建”的原则。在上级部门的组织下，我市自然资源主管部门会同财政、生态环境等有关部门在德惠市人民政府的领导下，负责绿色矿山建设工作方案的具体落实。矿山企业认真履行主体责任，全面履行绿色矿山建设</w:t>
      </w:r>
      <w:r>
        <w:t>义务，加快绿色矿山建设进程。</w:t>
      </w:r>
    </w:p>
    <w:p w14:paraId="00FBB8B5">
      <w:pPr>
        <w:spacing w:before="81" w:line="304" w:lineRule="auto"/>
        <w:ind w:left="220" w:right="258" w:firstLine="600"/>
        <w:jc w:val="left"/>
        <w:rPr>
          <w:sz w:val="30"/>
        </w:rPr>
      </w:pPr>
      <w:r>
        <w:rPr>
          <w:rFonts w:hint="eastAsia" w:ascii="Microsoft JhengHei" w:eastAsia="Microsoft JhengHei"/>
          <w:b/>
          <w:sz w:val="30"/>
        </w:rPr>
        <w:t>完善绿色矿山建设支持政策</w:t>
      </w:r>
      <w:r>
        <w:rPr>
          <w:rFonts w:hint="eastAsia" w:ascii="Microsoft JhengHei"/>
          <w:b/>
          <w:sz w:val="30"/>
          <w:lang w:eastAsia="zh-CN"/>
        </w:rPr>
        <w:t>。</w:t>
      </w:r>
      <w:r>
        <w:rPr>
          <w:sz w:val="30"/>
        </w:rPr>
        <w:t>根据国家、省、市相关政策，结合我市实际，在矿产资源配置、建设用地使用、财税以及绿色金融等方</w:t>
      </w:r>
    </w:p>
    <w:p w14:paraId="117616DE">
      <w:pPr>
        <w:spacing w:after="0" w:line="304" w:lineRule="auto"/>
        <w:jc w:val="left"/>
        <w:rPr>
          <w:sz w:val="30"/>
        </w:rPr>
        <w:sectPr>
          <w:pgSz w:w="11910" w:h="16840"/>
          <w:pgMar w:top="1260" w:right="1180" w:bottom="1180" w:left="1220" w:header="0" w:footer="993" w:gutter="0"/>
          <w:cols w:space="720" w:num="1"/>
        </w:sectPr>
      </w:pPr>
    </w:p>
    <w:p w14:paraId="20E48527">
      <w:pPr>
        <w:pStyle w:val="2"/>
        <w:spacing w:before="30" w:line="374" w:lineRule="auto"/>
        <w:ind w:left="220" w:right="258"/>
        <w:jc w:val="both"/>
      </w:pPr>
      <w:r>
        <w:t>面，加大对绿色矿山建设的支持力度。优先保障新建和改扩建绿色矿山的矿产资源配置和建设用地合理需求；统筹相关资金支持优秀绿色矿山企业发展，通过税收、绿色金融、基金扶持和奖励等多种举措提供助力。</w:t>
      </w:r>
    </w:p>
    <w:p w14:paraId="4DAC9337">
      <w:pPr>
        <w:spacing w:before="0" w:line="454" w:lineRule="exact"/>
        <w:ind w:left="820" w:right="0" w:firstLine="0"/>
        <w:jc w:val="left"/>
        <w:rPr>
          <w:sz w:val="30"/>
        </w:rPr>
      </w:pPr>
      <w:r>
        <w:rPr>
          <w:rFonts w:hint="eastAsia" w:ascii="Microsoft JhengHei" w:eastAsia="Microsoft JhengHei"/>
          <w:b/>
          <w:sz w:val="30"/>
        </w:rPr>
        <w:t>强化绿色矿山建设过程监管</w:t>
      </w:r>
      <w:r>
        <w:rPr>
          <w:rFonts w:hint="eastAsia" w:ascii="Microsoft JhengHei"/>
          <w:b/>
          <w:sz w:val="30"/>
          <w:lang w:eastAsia="zh-CN"/>
        </w:rPr>
        <w:t>。</w:t>
      </w:r>
      <w:r>
        <w:rPr>
          <w:sz w:val="30"/>
        </w:rPr>
        <w:t>自然资源主管部门应严格新建矿山</w:t>
      </w:r>
    </w:p>
    <w:p w14:paraId="3E7964C2">
      <w:pPr>
        <w:pStyle w:val="2"/>
        <w:spacing w:before="148" w:line="374" w:lineRule="auto"/>
        <w:ind w:left="220" w:right="107"/>
        <w:jc w:val="both"/>
      </w:pPr>
      <w:r>
        <w:t>准入管理；督促、引导生产矿山按照绿色矿山建设标准编制绿色矿山建设实施方案，加快改造升级进程；建立绿色矿山名录库，全面落实“双随机、一公开”制度，促进纳入绿色矿山名录的采矿权人持续开展绿色矿山维护，对检查中发现的问题及时督促企业限期整改，对整</w:t>
      </w:r>
      <w:r>
        <w:rPr>
          <w:spacing w:val="-12"/>
        </w:rPr>
        <w:t>改后仍不合格的，从绿色矿山名录库中除名，不再享受相关优惠政策。</w:t>
      </w:r>
    </w:p>
    <w:p w14:paraId="7D36D104">
      <w:pPr>
        <w:pStyle w:val="2"/>
        <w:spacing w:before="158"/>
        <w:ind w:right="38"/>
        <w:jc w:val="center"/>
        <w:rPr>
          <w:rFonts w:hint="eastAsia" w:ascii="黑体" w:eastAsia="黑体"/>
        </w:rPr>
      </w:pPr>
      <w:bookmarkStart w:id="42" w:name="第二节 加强矿区生态保护修复"/>
      <w:bookmarkEnd w:id="42"/>
      <w:bookmarkStart w:id="43" w:name="_bookmark21"/>
      <w:bookmarkEnd w:id="43"/>
      <w:r>
        <w:rPr>
          <w:rFonts w:hint="eastAsia" w:ascii="黑体" w:eastAsia="黑体"/>
        </w:rPr>
        <w:t>第二节 加强矿区生态保护修复</w:t>
      </w:r>
    </w:p>
    <w:p w14:paraId="363BF43C">
      <w:pPr>
        <w:pStyle w:val="2"/>
        <w:spacing w:before="191" w:line="600" w:lineRule="exact"/>
        <w:ind w:left="220" w:right="256" w:firstLine="600"/>
        <w:jc w:val="both"/>
      </w:pPr>
      <w:r>
        <w:rPr>
          <w:rFonts w:hint="eastAsia" w:ascii="Microsoft JhengHei" w:hAnsi="Microsoft JhengHei" w:eastAsia="Microsoft JhengHei"/>
          <w:b/>
        </w:rPr>
        <w:t>全面推进矿区生态保护修复</w:t>
      </w:r>
      <w:r>
        <w:rPr>
          <w:rFonts w:hint="eastAsia" w:ascii="Microsoft JhengHei" w:hAnsi="Microsoft JhengHei"/>
          <w:b/>
          <w:lang w:eastAsia="zh-CN"/>
        </w:rPr>
        <w:t>。</w:t>
      </w:r>
      <w:r>
        <w:t>坚持绿色发展理念，努力实现矿产资源开发与生态环境保护协调发展局面。因矿施策，因地制宜，按照“宜农则农、宜林则林、宜园则园、宜水则水”的治理方式，努力开展矿区生态保护修复工作，促进矿产资源开发利用和矿山生态环境保护的协调发展。</w:t>
      </w:r>
    </w:p>
    <w:p w14:paraId="04414517">
      <w:pPr>
        <w:pStyle w:val="2"/>
        <w:spacing w:line="600" w:lineRule="exact"/>
        <w:ind w:left="220" w:right="107" w:firstLine="600"/>
      </w:pPr>
      <w:r>
        <w:rPr>
          <w:rFonts w:hint="eastAsia" w:ascii="Microsoft JhengHei" w:eastAsia="Microsoft JhengHei"/>
          <w:b/>
        </w:rPr>
        <w:t>严格新建矿山准入管理</w:t>
      </w:r>
      <w:r>
        <w:rPr>
          <w:rFonts w:hint="eastAsia" w:ascii="Microsoft JhengHei"/>
          <w:b/>
          <w:lang w:eastAsia="zh-CN"/>
        </w:rPr>
        <w:t>。</w:t>
      </w:r>
      <w:r>
        <w:t>鼓励新建矿山将矿产资源开发利用方案</w:t>
      </w:r>
      <w:r>
        <w:rPr>
          <w:spacing w:val="-7"/>
        </w:rPr>
        <w:t xml:space="preserve">与矿山地质环境保护与土地复垦方案同步编制、同步审查、同步实施， </w:t>
      </w:r>
      <w:r>
        <w:t>及时编制绿色矿山建设实施方案，并按照方案要求履行矿山地质环境</w:t>
      </w:r>
      <w:r>
        <w:rPr>
          <w:spacing w:val="-1"/>
        </w:rPr>
        <w:t>保护与土地复垦义务；矿山企业要建立完善的矿山地质环境和土地复垦监测监管制度，按照相关规定建立矿山地质环境治理恢复基金管理账户，足额提取治理恢复基金，计入企业成本，为解决开采后造成的矿山地质环境问题做好准备工作，保障矿区生态环境得到有效保护和</w:t>
      </w:r>
    </w:p>
    <w:p w14:paraId="4325CA8F">
      <w:pPr>
        <w:spacing w:after="0" w:line="600" w:lineRule="exact"/>
        <w:sectPr>
          <w:pgSz w:w="11910" w:h="16840"/>
          <w:pgMar w:top="1240" w:right="1180" w:bottom="1180" w:left="1220" w:header="0" w:footer="993" w:gutter="0"/>
          <w:cols w:space="720" w:num="1"/>
        </w:sectPr>
      </w:pPr>
    </w:p>
    <w:p w14:paraId="42225A3E">
      <w:pPr>
        <w:pStyle w:val="2"/>
        <w:spacing w:before="30"/>
        <w:ind w:left="220"/>
      </w:pPr>
      <w:r>
        <w:t>治理修复。</w:t>
      </w:r>
    </w:p>
    <w:p w14:paraId="54565684">
      <w:pPr>
        <w:pStyle w:val="2"/>
        <w:spacing w:before="36" w:line="600" w:lineRule="exact"/>
        <w:ind w:left="220" w:right="258" w:firstLine="600"/>
        <w:jc w:val="both"/>
      </w:pPr>
      <w:r>
        <w:rPr>
          <w:rFonts w:hint="eastAsia" w:ascii="Microsoft JhengHei" w:eastAsia="Microsoft JhengHei"/>
          <w:b/>
        </w:rPr>
        <w:t>强化生产矿山过程监管</w:t>
      </w:r>
      <w:r>
        <w:rPr>
          <w:rFonts w:hint="eastAsia" w:ascii="Microsoft JhengHei"/>
          <w:b/>
          <w:lang w:eastAsia="zh-CN"/>
        </w:rPr>
        <w:t>。</w:t>
      </w:r>
      <w:r>
        <w:t>生产矿山的矿山地质环境治理保护与土地复垦应当与矿产资源开采活动同步进行。矿山生产应采用先进的技术、设备，做到环境保护和资源节约，并应严格按照矿山地质环境保护与土地复垦方案中安排的任务和时序，切实履行矿山地质环境治理恢复与土地复垦义务，同时做好矿山地质环境与土地复垦监测工作， 及时掌握矿山地质环境影响、治理恢复与土地复垦情况。</w:t>
      </w:r>
    </w:p>
    <w:p w14:paraId="756BCFD4">
      <w:pPr>
        <w:pStyle w:val="2"/>
        <w:spacing w:line="600" w:lineRule="exact"/>
        <w:ind w:left="220" w:right="258" w:firstLine="600"/>
        <w:jc w:val="both"/>
      </w:pPr>
      <w:r>
        <w:rPr>
          <w:rFonts w:hint="eastAsia" w:ascii="Microsoft JhengHei" w:hAnsi="Microsoft JhengHei" w:eastAsia="Microsoft JhengHei"/>
          <w:b/>
        </w:rPr>
        <w:t>创新生态保护修复工作机制</w:t>
      </w:r>
      <w:r>
        <w:rPr>
          <w:rFonts w:hint="eastAsia" w:ascii="Microsoft JhengHei" w:hAnsi="Microsoft JhengHei"/>
          <w:b/>
          <w:lang w:eastAsia="zh-CN"/>
        </w:rPr>
        <w:t>。</w:t>
      </w:r>
      <w:r>
        <w:t>各级人民政府和自然资源主管部门要加强矿山生态环境治理恢复工作的监督和管理，明确矿山企业的主体责任，充分发挥社会监督作用，逐步营造“谁开发谁保护、谁破坏谁恢复”的矿山地质环境保护与治理恢复的良好局面。统筹使用各类财政资金，实施矿山地质环境综合治理。强化矿山地质环境治理恢复和土地复垦基金的存储、计提、使用和监管，为矿区生态修复提供资金保障，促进矿产资源开发和矿山生态环境保护协调发展。</w:t>
      </w:r>
    </w:p>
    <w:p w14:paraId="3847A220">
      <w:pPr>
        <w:spacing w:after="0" w:line="600" w:lineRule="exact"/>
        <w:jc w:val="both"/>
        <w:sectPr>
          <w:pgSz w:w="11910" w:h="16840"/>
          <w:pgMar w:top="1240" w:right="1180" w:bottom="1180" w:left="1220" w:header="0" w:footer="993" w:gutter="0"/>
          <w:cols w:space="720" w:num="1"/>
        </w:sectPr>
      </w:pPr>
    </w:p>
    <w:p w14:paraId="5C4A844A">
      <w:pPr>
        <w:pStyle w:val="9"/>
        <w:tabs>
          <w:tab w:val="left" w:pos="1439"/>
        </w:tabs>
      </w:pPr>
      <w:bookmarkStart w:id="44" w:name="第六章  规划实施管理"/>
      <w:bookmarkEnd w:id="44"/>
      <w:bookmarkStart w:id="45" w:name="_bookmark22"/>
      <w:bookmarkEnd w:id="45"/>
      <w:r>
        <w:t>第六章</w:t>
      </w:r>
      <w:r>
        <w:tab/>
      </w:r>
      <w:r>
        <w:t>规划实施管理</w:t>
      </w:r>
    </w:p>
    <w:p w14:paraId="27352B78">
      <w:pPr>
        <w:pStyle w:val="2"/>
        <w:spacing w:before="275"/>
        <w:ind w:right="38"/>
        <w:jc w:val="center"/>
        <w:rPr>
          <w:rFonts w:hint="eastAsia" w:ascii="黑体" w:eastAsia="黑体"/>
        </w:rPr>
      </w:pPr>
      <w:bookmarkStart w:id="46" w:name="第一节 加强组织领导"/>
      <w:bookmarkEnd w:id="46"/>
      <w:bookmarkStart w:id="47" w:name="_bookmark23"/>
      <w:bookmarkEnd w:id="47"/>
      <w:r>
        <w:rPr>
          <w:rFonts w:hint="eastAsia" w:ascii="黑体" w:eastAsia="黑体"/>
        </w:rPr>
        <w:t>第一节 加强组织领导</w:t>
      </w:r>
    </w:p>
    <w:p w14:paraId="6F7A9B13">
      <w:pPr>
        <w:pStyle w:val="2"/>
        <w:rPr>
          <w:rFonts w:ascii="黑体"/>
          <w:sz w:val="29"/>
        </w:rPr>
      </w:pPr>
    </w:p>
    <w:p w14:paraId="4A8398C7">
      <w:pPr>
        <w:pStyle w:val="2"/>
        <w:spacing w:line="374" w:lineRule="auto"/>
        <w:ind w:left="220" w:right="258" w:firstLine="600"/>
        <w:jc w:val="both"/>
      </w:pPr>
      <w:r>
        <w:t>加强矿产资源规划的组织实施，在市人民政府领导下，市自然资源局、市发改委、市工信局、市财政局等各部门要按照职能分工，加强协调配合，做好资金、技术和政策保障，研究解决规划实施中的重大问题。</w:t>
      </w:r>
    </w:p>
    <w:p w14:paraId="05D86BD4">
      <w:pPr>
        <w:pStyle w:val="2"/>
        <w:spacing w:before="158"/>
        <w:ind w:right="38"/>
        <w:jc w:val="center"/>
        <w:rPr>
          <w:rFonts w:hint="eastAsia" w:ascii="黑体" w:eastAsia="黑体"/>
        </w:rPr>
      </w:pPr>
      <w:bookmarkStart w:id="48" w:name="第二节 完善规划实施目标责任考核制度"/>
      <w:bookmarkEnd w:id="48"/>
      <w:bookmarkStart w:id="49" w:name="_bookmark24"/>
      <w:bookmarkEnd w:id="49"/>
      <w:r>
        <w:rPr>
          <w:rFonts w:hint="eastAsia" w:ascii="黑体" w:eastAsia="黑体"/>
        </w:rPr>
        <w:t>第二节 完善规划实施目标责任考核制度</w:t>
      </w:r>
    </w:p>
    <w:p w14:paraId="3C80F460">
      <w:pPr>
        <w:pStyle w:val="2"/>
        <w:spacing w:before="12"/>
        <w:rPr>
          <w:rFonts w:ascii="黑体"/>
          <w:sz w:val="28"/>
        </w:rPr>
      </w:pPr>
    </w:p>
    <w:p w14:paraId="222D3834">
      <w:pPr>
        <w:pStyle w:val="2"/>
        <w:spacing w:line="374" w:lineRule="auto"/>
        <w:ind w:left="220" w:right="258" w:firstLine="600"/>
        <w:jc w:val="both"/>
      </w:pPr>
      <w:r>
        <w:t>健全规划管理体制，完善规划运行机制，按照本规划确定的目标和任务，切实推进全市矿产资源勘查、开发利用和保护各项工作。建立规划实施目标责任制，按照规划目标任务进行分解落实，完善评价体系和绩效管理，考核结果纳入绩效评价体系，确保规划确定的各项任务落到实处。</w:t>
      </w:r>
    </w:p>
    <w:p w14:paraId="43D99124">
      <w:pPr>
        <w:pStyle w:val="2"/>
        <w:spacing w:before="158"/>
        <w:ind w:right="38"/>
        <w:jc w:val="center"/>
        <w:rPr>
          <w:rFonts w:hint="eastAsia" w:ascii="黑体" w:eastAsia="黑体"/>
        </w:rPr>
      </w:pPr>
      <w:bookmarkStart w:id="50" w:name="_bookmark25"/>
      <w:bookmarkEnd w:id="50"/>
      <w:bookmarkStart w:id="51" w:name="第三节 健全完善规划实施评估调整机制"/>
      <w:bookmarkEnd w:id="51"/>
      <w:r>
        <w:rPr>
          <w:rFonts w:hint="eastAsia" w:ascii="黑体" w:eastAsia="黑体"/>
        </w:rPr>
        <w:t>第三节 健全完善规划实施评估调整机制</w:t>
      </w:r>
    </w:p>
    <w:p w14:paraId="5DDB4C5B">
      <w:pPr>
        <w:pStyle w:val="2"/>
        <w:rPr>
          <w:rFonts w:ascii="黑体"/>
          <w:sz w:val="29"/>
        </w:rPr>
      </w:pPr>
    </w:p>
    <w:p w14:paraId="4C2B2551">
      <w:pPr>
        <w:pStyle w:val="2"/>
        <w:spacing w:line="374" w:lineRule="auto"/>
        <w:ind w:left="220" w:right="107" w:firstLine="600"/>
      </w:pPr>
      <w:r>
        <w:t>定期评估规划目标、重点任务、政策措施等落实情况，作为规划</w:t>
      </w:r>
      <w:r>
        <w:rPr>
          <w:spacing w:val="-13"/>
        </w:rPr>
        <w:t xml:space="preserve">调整的依据。确需调整的，可由原规划编制机关对其必要性组织论证， </w:t>
      </w:r>
      <w:r>
        <w:t>审定调整方案，报原审批机关备案。</w:t>
      </w:r>
    </w:p>
    <w:p w14:paraId="642727D9">
      <w:pPr>
        <w:pStyle w:val="2"/>
        <w:spacing w:before="157"/>
        <w:ind w:right="38"/>
        <w:jc w:val="center"/>
        <w:rPr>
          <w:rFonts w:hint="eastAsia" w:ascii="黑体" w:eastAsia="黑体"/>
        </w:rPr>
      </w:pPr>
      <w:bookmarkStart w:id="52" w:name="第四节 加强规划实施情况监督检查"/>
      <w:bookmarkEnd w:id="52"/>
      <w:bookmarkStart w:id="53" w:name="_bookmark26"/>
      <w:bookmarkEnd w:id="53"/>
      <w:r>
        <w:rPr>
          <w:rFonts w:hint="eastAsia" w:ascii="黑体" w:eastAsia="黑体"/>
        </w:rPr>
        <w:t>第四节 加强规划实施情况监督检查</w:t>
      </w:r>
    </w:p>
    <w:p w14:paraId="505D5E40">
      <w:pPr>
        <w:pStyle w:val="2"/>
        <w:rPr>
          <w:rFonts w:ascii="黑体"/>
          <w:sz w:val="29"/>
        </w:rPr>
      </w:pPr>
    </w:p>
    <w:p w14:paraId="45967C46">
      <w:pPr>
        <w:pStyle w:val="2"/>
        <w:spacing w:before="1" w:line="374" w:lineRule="auto"/>
        <w:ind w:left="220" w:right="107" w:firstLine="600"/>
      </w:pPr>
      <w:r>
        <w:rPr>
          <w:spacing w:val="-12"/>
        </w:rPr>
        <w:t xml:space="preserve">严格落实规划任务和目标，建立规划实施情况动态监督检查制度， </w:t>
      </w:r>
      <w:r>
        <w:t>加强总量调控等规划指标执行情况的监督检查；建立规划实施情况反馈制度，及时掌握规划执行情况监督检查结果，强化对规划重点区域矿产勘查开发活动的监督管理，及时纠正违反规划行为。</w:t>
      </w:r>
    </w:p>
    <w:p w14:paraId="7FBD1CC6">
      <w:pPr>
        <w:spacing w:after="0" w:line="374" w:lineRule="auto"/>
        <w:sectPr>
          <w:pgSz w:w="11910" w:h="16840"/>
          <w:pgMar w:top="1260" w:right="1180" w:bottom="1180" w:left="1220" w:header="0" w:footer="993" w:gutter="0"/>
          <w:cols w:space="720" w:num="1"/>
        </w:sectPr>
      </w:pPr>
    </w:p>
    <w:p w14:paraId="527586F1">
      <w:pPr>
        <w:pStyle w:val="2"/>
        <w:spacing w:before="30"/>
        <w:ind w:right="38"/>
        <w:jc w:val="center"/>
        <w:rPr>
          <w:rFonts w:hint="eastAsia" w:ascii="黑体" w:eastAsia="黑体"/>
        </w:rPr>
      </w:pPr>
      <w:bookmarkStart w:id="54" w:name="第五节 提高规划管理信息化水平"/>
      <w:bookmarkEnd w:id="54"/>
      <w:bookmarkStart w:id="55" w:name="_bookmark27"/>
      <w:bookmarkEnd w:id="55"/>
      <w:r>
        <w:rPr>
          <w:rFonts w:hint="eastAsia" w:ascii="黑体" w:eastAsia="黑体"/>
        </w:rPr>
        <w:t>第五节 提高规划管理信息化水平</w:t>
      </w:r>
    </w:p>
    <w:p w14:paraId="3B97A671">
      <w:pPr>
        <w:pStyle w:val="2"/>
        <w:rPr>
          <w:rFonts w:ascii="黑体"/>
          <w:sz w:val="29"/>
        </w:rPr>
      </w:pPr>
    </w:p>
    <w:p w14:paraId="0AE9BD62">
      <w:pPr>
        <w:pStyle w:val="2"/>
        <w:spacing w:line="374" w:lineRule="auto"/>
        <w:ind w:left="220" w:right="107" w:firstLine="600"/>
      </w:pPr>
      <w:r>
        <w:t>完善矿产资源规划管理信息系统，做好矿产资源规划信息的整理</w:t>
      </w:r>
      <w:r>
        <w:rPr>
          <w:spacing w:val="-13"/>
        </w:rPr>
        <w:t>入库工作。加强网络建设，实现上下管理单位的网络贯通，信息共享。</w:t>
      </w:r>
      <w:r>
        <w:t>建成面向社会公众的开放式网站，及时向社会公众宣贯矿产资源规划信息，并接受社会公众的监督和信息反馈，保障社会公众依法享有知情权、参与权和监督权，促进政府矿产资源规划编制管理水平的提升和矿产资源规划的有效实施。</w:t>
      </w:r>
    </w:p>
    <w:sectPr>
      <w:pgSz w:w="11910" w:h="16840"/>
      <w:pgMar w:top="1240" w:right="1180" w:bottom="1180" w:left="1220" w:header="0" w:footer="99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0CAAD">
    <w:pPr>
      <w:pStyle w:val="2"/>
      <w:spacing w:line="14" w:lineRule="auto"/>
      <w:rPr>
        <w:sz w:val="20"/>
      </w:rPr>
    </w:pPr>
    <w:r>
      <w:rPr>
        <w:rFonts w:ascii="宋体" w:hAnsi="宋体" w:eastAsia="宋体" w:cs="宋体"/>
        <w:sz w:val="30"/>
        <w:szCs w:val="30"/>
        <w:lang w:val="en-US" w:eastAsia="en-US" w:bidi="ar-SA"/>
      </w:rPr>
      <w:pict>
        <v:shape id="文本框 1025" o:spid="_x0000_s2049" o:spt="202" type="#_x0000_t202" style="position:absolute;left:0pt;margin-left:292.45pt;margin-top:784.25pt;height:11pt;width:10.5pt;mso-position-horizontal-relative:page;mso-position-vertical-relative:page;z-index:-2516572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3B190289">
                <w:pPr>
                  <w:spacing w:before="0" w:line="220" w:lineRule="exact"/>
                  <w:ind w:left="60" w:right="0" w:firstLine="0"/>
                  <w:jc w:val="left"/>
                  <w:rPr>
                    <w:sz w:val="18"/>
                  </w:rPr>
                </w:pPr>
                <w:r>
                  <w:fldChar w:fldCharType="begin"/>
                </w:r>
                <w:r>
                  <w:rPr>
                    <w:sz w:val="18"/>
                  </w:rPr>
                  <w:instrText xml:space="preserve"> PAGE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E7C8C">
    <w:pPr>
      <w:pStyle w:val="2"/>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DF160">
    <w:pPr>
      <w:pStyle w:val="2"/>
      <w:spacing w:line="14" w:lineRule="auto"/>
      <w:rPr>
        <w:sz w:val="20"/>
      </w:rPr>
    </w:pPr>
    <w:r>
      <w:rPr>
        <w:rFonts w:ascii="宋体" w:hAnsi="宋体" w:eastAsia="宋体" w:cs="宋体"/>
        <w:sz w:val="30"/>
        <w:szCs w:val="30"/>
        <w:lang w:val="en-US" w:eastAsia="en-US" w:bidi="ar-SA"/>
      </w:rPr>
      <w:pict>
        <v:shape id="文本框 1026" o:spid="_x0000_s2050" o:spt="202" type="#_x0000_t202" style="position:absolute;left:0pt;margin-left:290.15pt;margin-top:781.35pt;height:12pt;width:15.1pt;mso-position-horizontal-relative:page;mso-position-vertical-relative:page;z-index:-2516561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04F37687">
                <w:pPr>
                  <w:spacing w:before="12"/>
                  <w:ind w:left="6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8EF6B5"/>
    <w:multiLevelType w:val="singleLevel"/>
    <w:tmpl w:val="638EF6B5"/>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2"/>
  <w:displayVerticalDrawingGridEvery w:val="1"/>
  <w:characterSpacingControl w:val="doNotCompress"/>
  <w:hdrShapeDefaults>
    <o:shapelayout v:ext="edit">
      <o:idmap v:ext="edit" data="2"/>
    </o:shapelayout>
  </w:hdrShapeDefaults>
  <w:footnotePr>
    <w:footnote w:id="0"/>
    <w:footnote w:id="1"/>
  </w:footnotePr>
  <w:endnotePr>
    <w:endnote w:id="0"/>
    <w:endnote w:id="1"/>
  </w:endnotePr>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M2NTBhMDY4MjUzYThmMjhiMTdjNjYxZjcyZTlmZmIifQ=="/>
  </w:docVars>
  <w:rsids>
    <w:rsidRoot w:val="00000000"/>
    <w:rsid w:val="75C669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0"/>
      <w:szCs w:val="30"/>
    </w:rPr>
  </w:style>
  <w:style w:type="paragraph" w:customStyle="1" w:styleId="5">
    <w:name w:val="TOC 1"/>
    <w:basedOn w:val="1"/>
    <w:qFormat/>
    <w:uiPriority w:val="1"/>
    <w:pPr>
      <w:spacing w:before="624"/>
      <w:ind w:right="166"/>
      <w:jc w:val="center"/>
    </w:pPr>
    <w:rPr>
      <w:rFonts w:ascii="华文中宋" w:hAnsi="华文中宋" w:eastAsia="华文中宋" w:cs="华文中宋"/>
      <w:sz w:val="28"/>
      <w:szCs w:val="28"/>
    </w:rPr>
  </w:style>
  <w:style w:type="paragraph" w:customStyle="1" w:styleId="6">
    <w:name w:val="TOC 2"/>
    <w:basedOn w:val="1"/>
    <w:qFormat/>
    <w:uiPriority w:val="1"/>
    <w:pPr>
      <w:spacing w:before="397"/>
      <w:ind w:left="100"/>
    </w:pPr>
    <w:rPr>
      <w:rFonts w:ascii="宋体" w:hAnsi="宋体" w:eastAsia="宋体" w:cs="宋体"/>
      <w:sz w:val="28"/>
      <w:szCs w:val="28"/>
    </w:rPr>
  </w:style>
  <w:style w:type="paragraph" w:customStyle="1" w:styleId="7">
    <w:name w:val="TOC 3"/>
    <w:basedOn w:val="1"/>
    <w:qFormat/>
    <w:uiPriority w:val="1"/>
    <w:pPr>
      <w:spacing w:before="265"/>
      <w:ind w:left="308"/>
    </w:pPr>
    <w:rPr>
      <w:rFonts w:ascii="宋体" w:hAnsi="宋体" w:eastAsia="宋体" w:cs="宋体"/>
      <w:sz w:val="28"/>
      <w:szCs w:val="28"/>
    </w:rPr>
  </w:style>
  <w:style w:type="paragraph" w:customStyle="1" w:styleId="8">
    <w:name w:val="Heading 1"/>
    <w:basedOn w:val="1"/>
    <w:qFormat/>
    <w:uiPriority w:val="1"/>
    <w:pPr>
      <w:spacing w:before="19"/>
      <w:ind w:right="161"/>
      <w:jc w:val="center"/>
      <w:outlineLvl w:val="1"/>
    </w:pPr>
    <w:rPr>
      <w:rFonts w:ascii="华文中宋" w:hAnsi="华文中宋" w:eastAsia="华文中宋" w:cs="华文中宋"/>
      <w:sz w:val="44"/>
      <w:szCs w:val="44"/>
    </w:rPr>
  </w:style>
  <w:style w:type="paragraph" w:customStyle="1" w:styleId="9">
    <w:name w:val="Heading 2"/>
    <w:basedOn w:val="1"/>
    <w:qFormat/>
    <w:uiPriority w:val="1"/>
    <w:pPr>
      <w:spacing w:line="647" w:lineRule="exact"/>
      <w:ind w:right="42"/>
      <w:jc w:val="center"/>
      <w:outlineLvl w:val="2"/>
    </w:pPr>
    <w:rPr>
      <w:rFonts w:ascii="Microsoft JhengHei" w:hAnsi="Microsoft JhengHei" w:eastAsia="Microsoft JhengHei" w:cs="Microsoft JhengHei"/>
      <w:b/>
      <w:bCs/>
      <w:sz w:val="36"/>
      <w:szCs w:val="36"/>
    </w:rPr>
  </w:style>
  <w:style w:type="paragraph" w:customStyle="1" w:styleId="10">
    <w:name w:val="List Paragraph"/>
    <w:basedOn w:val="1"/>
    <w:qFormat/>
    <w:uiPriority w:val="1"/>
  </w:style>
  <w:style w:type="paragraph" w:customStyle="1" w:styleId="11">
    <w:name w:val="Table Paragraph"/>
    <w:basedOn w:val="1"/>
    <w:qFormat/>
    <w:uiPriority w:val="1"/>
    <w:pPr>
      <w:jc w:val="center"/>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10389</Words>
  <Characters>10698</Characters>
  <Lines>0</Lines>
  <Paragraphs>0</Paragraphs>
  <TotalTime>0</TotalTime>
  <ScaleCrop>false</ScaleCrop>
  <LinksUpToDate>false</LinksUpToDate>
  <CharactersWithSpaces>10989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2022-12-06T07:53:00Z</dcterms:created>
  <dc:creator>USER</dc:creator>
  <cp:lastModifiedBy>WPS_1559549068</cp:lastModifiedBy>
  <dcterms:modified xsi:type="dcterms:W3CDTF">2024-07-01T07:30:03Z</dcterms:modified>
  <dc:title>长春市双阳区矿产资源规划</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Creator">
    <vt:lpwstr>WPS 文字</vt:lpwstr>
  </property>
  <property fmtid="{D5CDD505-2E9C-101B-9397-08002B2CF9AE}" pid="4" name="LastSaved">
    <vt:filetime>2022-12-06T00:00:00Z</vt:filetime>
  </property>
  <property fmtid="{D5CDD505-2E9C-101B-9397-08002B2CF9AE}" pid="5" name="KSOProductBuildVer">
    <vt:lpwstr>2052-12.1.0.17133</vt:lpwstr>
  </property>
  <property fmtid="{D5CDD505-2E9C-101B-9397-08002B2CF9AE}" pid="6" name="ICV">
    <vt:lpwstr>D81332C9328A4A7B8B8B0DAAE3208E36_12</vt:lpwstr>
  </property>
</Properties>
</file>